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4F719D" w:rsidRDefault="007B70C2" w:rsidP="007B70C2">
      <w:pPr>
        <w:spacing w:line="360" w:lineRule="auto"/>
        <w:jc w:val="both"/>
        <w:rPr>
          <w:rFonts w:ascii="Palatino Linotype" w:hAnsi="Palatino Linotype" w:cs="Arial"/>
          <w:b/>
          <w:color w:val="000000" w:themeColor="text1"/>
          <w:lang w:eastAsia="es-MX"/>
        </w:rPr>
      </w:pPr>
      <w:r w:rsidRPr="004F719D">
        <w:rPr>
          <w:rFonts w:ascii="Palatino Linotype" w:hAnsi="Palatino Linotype" w:cs="Arial"/>
          <w:b/>
          <w:color w:val="000000" w:themeColor="text1"/>
        </w:rPr>
        <w:t>VOTO DISIDENTE DEL COMISIONADO JOSÉ GUADALUPE LUNA HERNÁNDEZ EN EL RECURSO DE REVISIÓN</w:t>
      </w:r>
      <w:r w:rsidR="00FC0B18" w:rsidRPr="004F719D">
        <w:rPr>
          <w:rFonts w:ascii="Palatino Linotype" w:hAnsi="Palatino Linotype" w:cs="Arial"/>
          <w:b/>
          <w:color w:val="000000" w:themeColor="text1"/>
        </w:rPr>
        <w:t xml:space="preserve"> </w:t>
      </w:r>
      <w:r w:rsidR="00FF7100">
        <w:rPr>
          <w:rFonts w:ascii="Palatino Linotype" w:hAnsi="Palatino Linotype" w:cs="Arial"/>
          <w:b/>
          <w:bCs/>
          <w:color w:val="000000" w:themeColor="text1"/>
        </w:rPr>
        <w:t>03153/INFOEM/IP/RR/2018</w:t>
      </w:r>
      <w:r w:rsidR="00A527F0" w:rsidRPr="004F719D">
        <w:rPr>
          <w:rFonts w:ascii="Palatino Linotype" w:hAnsi="Palatino Linotype" w:cs="Arial"/>
          <w:b/>
          <w:bCs/>
          <w:color w:val="000000" w:themeColor="text1"/>
        </w:rPr>
        <w:t>.</w:t>
      </w:r>
    </w:p>
    <w:p w:rsidR="00F436A4" w:rsidRPr="004F719D" w:rsidRDefault="00F436A4" w:rsidP="00F436A4">
      <w:pPr>
        <w:spacing w:line="360" w:lineRule="auto"/>
        <w:jc w:val="both"/>
        <w:rPr>
          <w:rFonts w:ascii="Palatino Linotype" w:hAnsi="Palatino Linotype" w:cs="Arial"/>
          <w:b/>
          <w:i/>
        </w:rPr>
      </w:pPr>
    </w:p>
    <w:p w:rsidR="00F436A4" w:rsidRDefault="003503B0" w:rsidP="00F436A4">
      <w:pPr>
        <w:spacing w:line="360" w:lineRule="auto"/>
        <w:jc w:val="both"/>
        <w:rPr>
          <w:rFonts w:ascii="Palatino Linotype" w:hAnsi="Palatino Linotype" w:cs="Arial"/>
          <w:b/>
        </w:rPr>
      </w:pPr>
      <w:r w:rsidRPr="004F719D">
        <w:rPr>
          <w:rFonts w:ascii="Palatino Linotype" w:hAnsi="Palatino Linotype" w:cs="Arial"/>
          <w:b/>
        </w:rPr>
        <w:t>RESUMEN DEL VOTO</w:t>
      </w:r>
    </w:p>
    <w:p w:rsidR="00D767CC" w:rsidRPr="004F719D" w:rsidRDefault="00D767CC" w:rsidP="00F436A4">
      <w:pPr>
        <w:spacing w:line="360" w:lineRule="auto"/>
        <w:jc w:val="both"/>
        <w:rPr>
          <w:rFonts w:ascii="Palatino Linotype" w:hAnsi="Palatino Linotype" w:cs="Arial"/>
          <w:b/>
          <w:bdr w:val="none" w:sz="0" w:space="0" w:color="auto"/>
        </w:rPr>
      </w:pPr>
    </w:p>
    <w:p w:rsidR="00A10361" w:rsidRPr="00A10361" w:rsidRDefault="00D767CC"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lang w:eastAsia="es-MX"/>
        </w:rPr>
        <w:t>D</w:t>
      </w:r>
      <w:r w:rsidR="00A10361" w:rsidRPr="00A10361">
        <w:rPr>
          <w:rFonts w:ascii="Palatino Linotype" w:hAnsi="Palatino Linotype" w:cs="Arial"/>
          <w:lang w:eastAsia="es-MX"/>
        </w:rPr>
        <w:t xml:space="preserve">el conocimiento general de la sociedad mexiquense, </w:t>
      </w:r>
      <w:r>
        <w:rPr>
          <w:rFonts w:ascii="Palatino Linotype" w:hAnsi="Palatino Linotype" w:cs="Arial"/>
          <w:lang w:eastAsia="es-MX"/>
        </w:rPr>
        <w:t xml:space="preserve">es </w:t>
      </w:r>
      <w:r w:rsidR="00A10361" w:rsidRPr="00A10361">
        <w:rPr>
          <w:rFonts w:ascii="Palatino Linotype" w:hAnsi="Palatino Linotype" w:cs="Arial"/>
          <w:lang w:eastAsia="es-MX"/>
        </w:rPr>
        <w:t>lo extenso y tedioso que puede implicar para la parte ofendida o víctima</w:t>
      </w:r>
      <w:r w:rsidR="00A10361">
        <w:rPr>
          <w:rFonts w:ascii="Palatino Linotype" w:hAnsi="Palatino Linotype" w:cs="Arial"/>
          <w:lang w:eastAsia="es-MX"/>
        </w:rPr>
        <w:t>, el llevar a cabo los diversos trámites ordinarios que prevé la ley de la materia, ante el Agente del Ministerio Público</w:t>
      </w:r>
      <w:r w:rsidR="00A10361" w:rsidRPr="00A10361">
        <w:rPr>
          <w:rFonts w:ascii="Palatino Linotype" w:hAnsi="Palatino Linotype" w:cs="Arial"/>
          <w:lang w:eastAsia="es-MX"/>
        </w:rPr>
        <w:t xml:space="preserve">. Los ciudadanos han externado en múltiples ocasiones, mayoritariamente en los medios de comunicación convencional, sus insatisfactorias experiencias con relación a la funcionalidad del Ministerio Público. </w:t>
      </w:r>
      <w:r w:rsidR="00A10361">
        <w:rPr>
          <w:rFonts w:ascii="Palatino Linotype" w:hAnsi="Palatino Linotype" w:cs="Arial"/>
          <w:lang w:eastAsia="es-MX"/>
        </w:rPr>
        <w:t>Por lo que,</w:t>
      </w:r>
      <w:r w:rsidR="00A10361" w:rsidRPr="00A10361">
        <w:rPr>
          <w:rFonts w:ascii="Palatino Linotype" w:hAnsi="Palatino Linotype" w:cs="Arial"/>
          <w:lang w:eastAsia="es-MX"/>
        </w:rPr>
        <w:t xml:space="preserve"> ante la ineficacia que eventualmente representa para las victimas el tener acceso a las averiguaciones previas por la mala funcionalidad, es que </w:t>
      </w:r>
      <w:r w:rsidR="00A10361">
        <w:rPr>
          <w:rFonts w:ascii="Palatino Linotype" w:hAnsi="Palatino Linotype" w:cs="Arial"/>
          <w:lang w:eastAsia="es-MX"/>
        </w:rPr>
        <w:t xml:space="preserve">les </w:t>
      </w:r>
      <w:r w:rsidR="00A10361" w:rsidRPr="00A10361">
        <w:rPr>
          <w:rFonts w:ascii="Palatino Linotype" w:hAnsi="Palatino Linotype" w:cs="Arial"/>
          <w:lang w:eastAsia="es-MX"/>
        </w:rPr>
        <w:t>conlleva a que pretendan tener acceso a la información a través del e</w:t>
      </w:r>
      <w:r w:rsidR="00A10361">
        <w:rPr>
          <w:rFonts w:ascii="Palatino Linotype" w:hAnsi="Palatino Linotype" w:cs="Arial"/>
          <w:lang w:eastAsia="es-MX"/>
        </w:rPr>
        <w:t>jercicio de los derechos ARCO y</w:t>
      </w:r>
      <w:r w:rsidR="00A10361" w:rsidRPr="00A10361">
        <w:rPr>
          <w:rFonts w:ascii="Palatino Linotype" w:hAnsi="Palatino Linotype" w:cs="Arial"/>
          <w:lang w:eastAsia="es-MX"/>
        </w:rPr>
        <w:t xml:space="preserve"> del derecho de acceso a la información pública.</w:t>
      </w:r>
    </w:p>
    <w:p w:rsidR="00A10361" w:rsidRP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P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lang w:eastAsia="es-MX"/>
        </w:rPr>
        <w:t>P</w:t>
      </w:r>
      <w:r w:rsidRPr="00A10361">
        <w:rPr>
          <w:rFonts w:ascii="Palatino Linotype" w:hAnsi="Palatino Linotype" w:cs="Arial"/>
          <w:lang w:eastAsia="es-MX"/>
        </w:rPr>
        <w:t xml:space="preserve">oder tener acceso a la información </w:t>
      </w:r>
      <w:r>
        <w:rPr>
          <w:rFonts w:ascii="Palatino Linotype" w:hAnsi="Palatino Linotype" w:cs="Arial"/>
          <w:lang w:eastAsia="es-MX"/>
        </w:rPr>
        <w:t>que se solicita en el caso concreto</w:t>
      </w:r>
      <w:r w:rsidRPr="00A10361">
        <w:rPr>
          <w:rFonts w:ascii="Palatino Linotype" w:hAnsi="Palatino Linotype" w:cs="Arial"/>
          <w:lang w:eastAsia="es-MX"/>
        </w:rPr>
        <w:t>, (generalmente a la parte ofendida o victima)</w:t>
      </w:r>
      <w:r>
        <w:rPr>
          <w:rFonts w:ascii="Palatino Linotype" w:hAnsi="Palatino Linotype" w:cs="Arial"/>
          <w:lang w:eastAsia="es-MX"/>
        </w:rPr>
        <w:t>,</w:t>
      </w:r>
      <w:r w:rsidRPr="00A10361">
        <w:rPr>
          <w:rFonts w:ascii="Palatino Linotype" w:hAnsi="Palatino Linotype" w:cs="Arial"/>
          <w:lang w:eastAsia="es-MX"/>
        </w:rPr>
        <w:t xml:space="preserve"> sirve</w:t>
      </w:r>
      <w:r w:rsidR="007464A6">
        <w:rPr>
          <w:rFonts w:ascii="Palatino Linotype" w:hAnsi="Palatino Linotype" w:cs="Arial"/>
          <w:lang w:eastAsia="es-MX"/>
        </w:rPr>
        <w:t xml:space="preserve"> además,</w:t>
      </w:r>
      <w:r w:rsidRPr="00A10361">
        <w:rPr>
          <w:rFonts w:ascii="Palatino Linotype" w:hAnsi="Palatino Linotype" w:cs="Arial"/>
          <w:lang w:eastAsia="es-MX"/>
        </w:rPr>
        <w:t xml:space="preserve"> para investigar y dar cuenta de si el Ministerio Público está llevando un correcto actuar en la investigación de los hechos que revisten los caracteres de delito, de protección a las víctimas y testigos, y sustento de la acción penal pública en ejercicio de sus funciones y atribuciones, que le han sido encomendadas para con la sociedad. </w:t>
      </w:r>
    </w:p>
    <w:p w:rsidR="00A10361" w:rsidRP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lang w:eastAsia="es-MX"/>
        </w:rPr>
        <w:lastRenderedPageBreak/>
        <w:t>L</w:t>
      </w:r>
      <w:r w:rsidRPr="00A10361">
        <w:rPr>
          <w:rFonts w:ascii="Palatino Linotype" w:hAnsi="Palatino Linotype" w:cs="Arial"/>
          <w:lang w:eastAsia="es-MX"/>
        </w:rPr>
        <w:t>a titular de los datos</w:t>
      </w:r>
      <w:r>
        <w:rPr>
          <w:rFonts w:ascii="Palatino Linotype" w:hAnsi="Palatino Linotype" w:cs="Arial"/>
          <w:lang w:eastAsia="es-MX"/>
        </w:rPr>
        <w:t xml:space="preserve"> entonces, debiera tener</w:t>
      </w:r>
      <w:r w:rsidRPr="00A10361">
        <w:rPr>
          <w:rFonts w:ascii="Palatino Linotype" w:hAnsi="Palatino Linotype" w:cs="Arial"/>
          <w:lang w:eastAsia="es-MX"/>
        </w:rPr>
        <w:t xml:space="preserve"> acceso a su versión íntegra </w:t>
      </w:r>
      <w:r>
        <w:rPr>
          <w:rFonts w:ascii="Palatino Linotype" w:hAnsi="Palatino Linotype" w:cs="Arial"/>
          <w:lang w:eastAsia="es-MX"/>
        </w:rPr>
        <w:t xml:space="preserve">de la información </w:t>
      </w:r>
      <w:r w:rsidRPr="00A10361">
        <w:rPr>
          <w:rFonts w:ascii="Palatino Linotype" w:hAnsi="Palatino Linotype" w:cs="Arial"/>
          <w:lang w:eastAsia="es-MX"/>
        </w:rPr>
        <w:t>para el caso de no contener datos personales y para el caso contrario, entonces mediante una versión pública. Esto para garantizar el acceso a la información, y por otro lado la debida protección de datos personales de terceros.</w:t>
      </w:r>
    </w:p>
    <w:p w:rsidR="00A10361" w:rsidRP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A10361">
        <w:rPr>
          <w:rFonts w:ascii="Palatino Linotype" w:hAnsi="Palatino Linotype" w:cs="Arial"/>
          <w:lang w:eastAsia="es-MX"/>
        </w:rPr>
        <w:t xml:space="preserve">Por ello, </w:t>
      </w:r>
      <w:r>
        <w:rPr>
          <w:rFonts w:ascii="Palatino Linotype" w:hAnsi="Palatino Linotype" w:cs="Arial"/>
          <w:lang w:eastAsia="es-MX"/>
        </w:rPr>
        <w:t>e</w:t>
      </w:r>
      <w:r w:rsidRPr="00A10361">
        <w:rPr>
          <w:rFonts w:ascii="Palatino Linotype" w:hAnsi="Palatino Linotype" w:cs="Arial"/>
          <w:lang w:eastAsia="es-MX"/>
        </w:rPr>
        <w:t xml:space="preserve">s de la mayor pertinencia que la parte afectada o victima tenga acceso a la información, porque el grave problema es la indefensión, en el sentido de aquella situación en la que la víctima se ve limitada, </w:t>
      </w:r>
      <w:r>
        <w:rPr>
          <w:rFonts w:ascii="Palatino Linotype" w:hAnsi="Palatino Linotype" w:cs="Arial"/>
          <w:lang w:eastAsia="es-MX"/>
        </w:rPr>
        <w:t>cuando</w:t>
      </w:r>
      <w:r w:rsidRPr="00A10361">
        <w:rPr>
          <w:rFonts w:ascii="Palatino Linotype" w:hAnsi="Palatino Linotype" w:cs="Arial"/>
          <w:lang w:eastAsia="es-MX"/>
        </w:rPr>
        <w:t xml:space="preserve"> se colisiona con aquellos tramites </w:t>
      </w:r>
      <w:r w:rsidR="00D767CC">
        <w:rPr>
          <w:rFonts w:ascii="Palatino Linotype" w:hAnsi="Palatino Linotype" w:cs="Arial"/>
          <w:lang w:eastAsia="es-MX"/>
        </w:rPr>
        <w:t>específicos</w:t>
      </w:r>
      <w:r w:rsidRPr="00A10361">
        <w:rPr>
          <w:rFonts w:ascii="Palatino Linotype" w:hAnsi="Palatino Linotype" w:cs="Arial"/>
          <w:lang w:eastAsia="es-MX"/>
        </w:rPr>
        <w:t xml:space="preserve"> que establece la ley para acceder a este tipo de información, los cuales regular</w:t>
      </w:r>
      <w:r>
        <w:rPr>
          <w:rFonts w:ascii="Palatino Linotype" w:hAnsi="Palatino Linotype" w:cs="Arial"/>
          <w:lang w:eastAsia="es-MX"/>
        </w:rPr>
        <w:t>mente, no le resultan efectivos.</w:t>
      </w:r>
    </w:p>
    <w:p w:rsidR="00A10361" w:rsidRDefault="00D767CC"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noProof/>
          <w:bdr w:val="none" w:sz="0" w:space="0" w:color="auto"/>
          <w:lang w:eastAsia="es-MX"/>
        </w:rPr>
        <mc:AlternateContent>
          <mc:Choice Requires="wps">
            <w:drawing>
              <wp:anchor distT="0" distB="0" distL="114300" distR="114300" simplePos="0" relativeHeight="251661312" behindDoc="0" locked="0" layoutInCell="1" allowOverlap="1">
                <wp:simplePos x="0" y="0"/>
                <wp:positionH relativeFrom="column">
                  <wp:posOffset>-10460</wp:posOffset>
                </wp:positionH>
                <wp:positionV relativeFrom="paragraph">
                  <wp:posOffset>145020</wp:posOffset>
                </wp:positionV>
                <wp:extent cx="5589917" cy="3398807"/>
                <wp:effectExtent l="0" t="0" r="29845" b="30480"/>
                <wp:wrapNone/>
                <wp:docPr id="5" name="Conector recto 5"/>
                <wp:cNvGraphicFramePr/>
                <a:graphic xmlns:a="http://schemas.openxmlformats.org/drawingml/2006/main">
                  <a:graphicData uri="http://schemas.microsoft.com/office/word/2010/wordprocessingShape">
                    <wps:wsp>
                      <wps:cNvCnPr/>
                      <wps:spPr>
                        <a:xfrm>
                          <a:off x="0" y="0"/>
                          <a:ext cx="5589917" cy="339880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4CEBF4BE" id="Conector recto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1.4pt" to="439.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" strokecolor="black [3200]" strokeweight="1.5pt">
                <v:stroke joinstyle="miter"/>
              </v:line>
            </w:pict>
          </mc:Fallback>
        </mc:AlternateContent>
      </w: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A10361" w:rsidRDefault="00A10361"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D767CC" w:rsidRPr="00A10361" w:rsidRDefault="00D767CC" w:rsidP="00A103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p>
    <w:p w:rsidR="00F436A4" w:rsidRPr="004F719D" w:rsidRDefault="00F436A4" w:rsidP="00F436A4">
      <w:pPr>
        <w:rPr>
          <w:rFonts w:ascii="Palatino Linotype" w:hAnsi="Palatino Linotype"/>
          <w:color w:val="2E74B5" w:themeColor="accent1" w:themeShade="BF"/>
          <w:lang w:val="es-ES"/>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436A4">
          <w:pPr>
            <w:rPr>
              <w:rFonts w:ascii="Palatino Linotype" w:hAnsi="Palatino Linotype"/>
              <w:color w:val="2E74B5" w:themeColor="accent1" w:themeShade="BF"/>
              <w:lang w:val="es-ES"/>
            </w:rPr>
          </w:pPr>
        </w:p>
        <w:p w:rsidR="00F436A4" w:rsidRPr="004F719D" w:rsidRDefault="00075028" w:rsidP="00075028">
          <w:pPr>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CF16BC">
          <w:pPr>
            <w:spacing w:line="480" w:lineRule="auto"/>
            <w:rPr>
              <w:rFonts w:ascii="Palatino Linotype" w:hAnsi="Palatino Linotype"/>
              <w:b/>
              <w:lang w:val="es-ES" w:eastAsia="es-MX"/>
            </w:rPr>
          </w:pPr>
        </w:p>
        <w:p w:rsidR="00D767CC" w:rsidRPr="00192468" w:rsidRDefault="00B82DF9">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6458706" w:history="1">
            <w:r w:rsidR="00D767CC" w:rsidRPr="00192468">
              <w:rPr>
                <w:rStyle w:val="Hipervnculo"/>
                <w:rFonts w:eastAsiaTheme="majorEastAsia" w:cstheme="majorBidi"/>
                <w:b/>
                <w:noProof/>
              </w:rPr>
              <w:t>I. Consideraciones Generales</w:t>
            </w:r>
            <w:r w:rsidR="00D767CC" w:rsidRPr="00192468">
              <w:rPr>
                <w:b/>
                <w:noProof/>
                <w:webHidden/>
              </w:rPr>
              <w:tab/>
            </w:r>
            <w:r w:rsidR="00D767CC" w:rsidRPr="00192468">
              <w:rPr>
                <w:b/>
                <w:noProof/>
                <w:webHidden/>
              </w:rPr>
              <w:fldChar w:fldCharType="begin"/>
            </w:r>
            <w:r w:rsidR="00D767CC" w:rsidRPr="00192468">
              <w:rPr>
                <w:b/>
                <w:noProof/>
                <w:webHidden/>
              </w:rPr>
              <w:instrText xml:space="preserve"> PAGEREF _Toc536458706 \h </w:instrText>
            </w:r>
            <w:r w:rsidR="00D767CC" w:rsidRPr="00192468">
              <w:rPr>
                <w:b/>
                <w:noProof/>
                <w:webHidden/>
              </w:rPr>
            </w:r>
            <w:r w:rsidR="00D767CC" w:rsidRPr="00192468">
              <w:rPr>
                <w:b/>
                <w:noProof/>
                <w:webHidden/>
              </w:rPr>
              <w:fldChar w:fldCharType="separate"/>
            </w:r>
            <w:r w:rsidR="00C57328">
              <w:rPr>
                <w:b/>
                <w:noProof/>
                <w:webHidden/>
              </w:rPr>
              <w:t>4</w:t>
            </w:r>
            <w:r w:rsidR="00D767CC" w:rsidRPr="00192468">
              <w:rPr>
                <w:b/>
                <w:noProof/>
                <w:webHidden/>
              </w:rPr>
              <w:fldChar w:fldCharType="end"/>
            </w:r>
          </w:hyperlink>
        </w:p>
        <w:p w:rsidR="00D767CC" w:rsidRPr="00192468" w:rsidRDefault="0005690C">
          <w:pPr>
            <w:pStyle w:val="TDC1"/>
            <w:rPr>
              <w:rFonts w:asciiTheme="minorHAnsi" w:eastAsiaTheme="minorEastAsia" w:hAnsiTheme="minorHAnsi" w:cstheme="minorBidi"/>
              <w:b/>
              <w:noProof/>
              <w:sz w:val="22"/>
              <w:szCs w:val="22"/>
              <w:bdr w:val="none" w:sz="0" w:space="0" w:color="auto"/>
              <w:lang w:eastAsia="es-MX"/>
            </w:rPr>
          </w:pPr>
          <w:hyperlink w:anchor="_Toc536458707" w:history="1">
            <w:r w:rsidR="00D767CC" w:rsidRPr="00192468">
              <w:rPr>
                <w:rStyle w:val="Hipervnculo"/>
                <w:b/>
                <w:noProof/>
              </w:rPr>
              <w:t>II.</w:t>
            </w:r>
            <w:r w:rsidR="00D767CC" w:rsidRPr="00192468">
              <w:rPr>
                <w:rFonts w:asciiTheme="minorHAnsi" w:eastAsiaTheme="minorEastAsia" w:hAnsiTheme="minorHAnsi" w:cstheme="minorBidi"/>
                <w:b/>
                <w:noProof/>
                <w:sz w:val="22"/>
                <w:szCs w:val="22"/>
                <w:bdr w:val="none" w:sz="0" w:space="0" w:color="auto"/>
                <w:lang w:eastAsia="es-MX"/>
              </w:rPr>
              <w:tab/>
            </w:r>
            <w:r w:rsidR="00D767CC" w:rsidRPr="00192468">
              <w:rPr>
                <w:rStyle w:val="Hipervnculo"/>
                <w:b/>
                <w:noProof/>
              </w:rPr>
              <w:t>De los requerimientos planteados en el recurso de revisión.</w:t>
            </w:r>
            <w:r w:rsidR="00D767CC" w:rsidRPr="00192468">
              <w:rPr>
                <w:b/>
                <w:noProof/>
                <w:webHidden/>
              </w:rPr>
              <w:tab/>
            </w:r>
            <w:r w:rsidR="00D767CC" w:rsidRPr="00192468">
              <w:rPr>
                <w:b/>
                <w:noProof/>
                <w:webHidden/>
              </w:rPr>
              <w:fldChar w:fldCharType="begin"/>
            </w:r>
            <w:r w:rsidR="00D767CC" w:rsidRPr="00192468">
              <w:rPr>
                <w:b/>
                <w:noProof/>
                <w:webHidden/>
              </w:rPr>
              <w:instrText xml:space="preserve"> PAGEREF _Toc536458707 \h </w:instrText>
            </w:r>
            <w:r w:rsidR="00D767CC" w:rsidRPr="00192468">
              <w:rPr>
                <w:b/>
                <w:noProof/>
                <w:webHidden/>
              </w:rPr>
            </w:r>
            <w:r w:rsidR="00D767CC" w:rsidRPr="00192468">
              <w:rPr>
                <w:b/>
                <w:noProof/>
                <w:webHidden/>
              </w:rPr>
              <w:fldChar w:fldCharType="separate"/>
            </w:r>
            <w:r w:rsidR="00C57328">
              <w:rPr>
                <w:b/>
                <w:noProof/>
                <w:webHidden/>
              </w:rPr>
              <w:t>5</w:t>
            </w:r>
            <w:r w:rsidR="00D767CC" w:rsidRPr="00192468">
              <w:rPr>
                <w:b/>
                <w:noProof/>
                <w:webHidden/>
              </w:rPr>
              <w:fldChar w:fldCharType="end"/>
            </w:r>
          </w:hyperlink>
        </w:p>
        <w:p w:rsidR="00D767CC" w:rsidRDefault="0005690C">
          <w:pPr>
            <w:pStyle w:val="TDC1"/>
            <w:rPr>
              <w:rFonts w:asciiTheme="minorHAnsi" w:eastAsiaTheme="minorEastAsia" w:hAnsiTheme="minorHAnsi" w:cstheme="minorBidi"/>
              <w:noProof/>
              <w:sz w:val="22"/>
              <w:szCs w:val="22"/>
              <w:bdr w:val="none" w:sz="0" w:space="0" w:color="auto"/>
              <w:lang w:eastAsia="es-MX"/>
            </w:rPr>
          </w:pPr>
          <w:hyperlink w:anchor="_Toc536458710" w:history="1">
            <w:r w:rsidR="00D767CC" w:rsidRPr="00192468">
              <w:rPr>
                <w:rStyle w:val="Hipervnculo"/>
                <w:b/>
                <w:noProof/>
              </w:rPr>
              <w:t>III.</w:t>
            </w:r>
            <w:r w:rsidR="00D767CC" w:rsidRPr="00192468">
              <w:rPr>
                <w:rFonts w:asciiTheme="minorHAnsi" w:eastAsiaTheme="minorEastAsia" w:hAnsiTheme="minorHAnsi" w:cstheme="minorBidi"/>
                <w:b/>
                <w:noProof/>
                <w:sz w:val="22"/>
                <w:szCs w:val="22"/>
                <w:bdr w:val="none" w:sz="0" w:space="0" w:color="auto"/>
                <w:lang w:eastAsia="es-MX"/>
              </w:rPr>
              <w:tab/>
            </w:r>
            <w:r w:rsidR="00D767CC" w:rsidRPr="00192468">
              <w:rPr>
                <w:rStyle w:val="Hipervnculo"/>
                <w:b/>
                <w:noProof/>
              </w:rPr>
              <w:t>De la resolución.</w:t>
            </w:r>
            <w:r w:rsidR="00D767CC" w:rsidRPr="00192468">
              <w:rPr>
                <w:b/>
                <w:noProof/>
                <w:webHidden/>
              </w:rPr>
              <w:tab/>
            </w:r>
            <w:r w:rsidR="00D767CC" w:rsidRPr="00192468">
              <w:rPr>
                <w:b/>
                <w:noProof/>
                <w:webHidden/>
              </w:rPr>
              <w:fldChar w:fldCharType="begin"/>
            </w:r>
            <w:r w:rsidR="00D767CC" w:rsidRPr="00192468">
              <w:rPr>
                <w:b/>
                <w:noProof/>
                <w:webHidden/>
              </w:rPr>
              <w:instrText xml:space="preserve"> PAGEREF _Toc536458710 \h </w:instrText>
            </w:r>
            <w:r w:rsidR="00D767CC" w:rsidRPr="00192468">
              <w:rPr>
                <w:b/>
                <w:noProof/>
                <w:webHidden/>
              </w:rPr>
            </w:r>
            <w:r w:rsidR="00D767CC" w:rsidRPr="00192468">
              <w:rPr>
                <w:b/>
                <w:noProof/>
                <w:webHidden/>
              </w:rPr>
              <w:fldChar w:fldCharType="separate"/>
            </w:r>
            <w:r w:rsidR="00C57328">
              <w:rPr>
                <w:b/>
                <w:noProof/>
                <w:webHidden/>
              </w:rPr>
              <w:t>6</w:t>
            </w:r>
            <w:r w:rsidR="00D767CC" w:rsidRPr="00192468">
              <w:rPr>
                <w:b/>
                <w:noProof/>
                <w:webHidden/>
              </w:rPr>
              <w:fldChar w:fldCharType="end"/>
            </w:r>
          </w:hyperlink>
        </w:p>
        <w:p w:rsidR="00D767CC" w:rsidRDefault="0005690C" w:rsidP="00D767CC">
          <w:pPr>
            <w:pStyle w:val="TDC1"/>
            <w:ind w:left="1085"/>
            <w:rPr>
              <w:rFonts w:asciiTheme="minorHAnsi" w:eastAsiaTheme="minorEastAsia" w:hAnsiTheme="minorHAnsi" w:cstheme="minorBidi"/>
              <w:noProof/>
              <w:sz w:val="22"/>
              <w:szCs w:val="22"/>
              <w:bdr w:val="none" w:sz="0" w:space="0" w:color="auto"/>
              <w:lang w:eastAsia="es-MX"/>
            </w:rPr>
          </w:pPr>
          <w:hyperlink w:anchor="_Toc536458711" w:history="1">
            <w:r w:rsidR="00D767CC" w:rsidRPr="00A55350">
              <w:rPr>
                <w:rStyle w:val="Hipervnculo"/>
                <w:rFonts w:ascii="Symbol" w:hAnsi="Symbol"/>
                <w:noProof/>
              </w:rPr>
              <w:t></w:t>
            </w:r>
            <w:r w:rsidR="00D767CC">
              <w:rPr>
                <w:rFonts w:asciiTheme="minorHAnsi" w:eastAsiaTheme="minorEastAsia" w:hAnsiTheme="minorHAnsi" w:cstheme="minorBidi"/>
                <w:noProof/>
                <w:sz w:val="22"/>
                <w:szCs w:val="22"/>
                <w:bdr w:val="none" w:sz="0" w:space="0" w:color="auto"/>
                <w:lang w:eastAsia="es-MX"/>
              </w:rPr>
              <w:tab/>
            </w:r>
            <w:r w:rsidR="00D767CC" w:rsidRPr="00A55350">
              <w:rPr>
                <w:rStyle w:val="Hipervnculo"/>
                <w:noProof/>
              </w:rPr>
              <w:t>Proyecto de resolución primario</w:t>
            </w:r>
            <w:r w:rsidR="00D767CC">
              <w:rPr>
                <w:noProof/>
                <w:webHidden/>
              </w:rPr>
              <w:tab/>
            </w:r>
            <w:r w:rsidR="00D767CC">
              <w:rPr>
                <w:noProof/>
                <w:webHidden/>
              </w:rPr>
              <w:fldChar w:fldCharType="begin"/>
            </w:r>
            <w:r w:rsidR="00D767CC">
              <w:rPr>
                <w:noProof/>
                <w:webHidden/>
              </w:rPr>
              <w:instrText xml:space="preserve"> PAGEREF _Toc536458711 \h </w:instrText>
            </w:r>
            <w:r w:rsidR="00D767CC">
              <w:rPr>
                <w:noProof/>
                <w:webHidden/>
              </w:rPr>
            </w:r>
            <w:r w:rsidR="00D767CC">
              <w:rPr>
                <w:noProof/>
                <w:webHidden/>
              </w:rPr>
              <w:fldChar w:fldCharType="separate"/>
            </w:r>
            <w:r w:rsidR="00C57328">
              <w:rPr>
                <w:noProof/>
                <w:webHidden/>
              </w:rPr>
              <w:t>6</w:t>
            </w:r>
            <w:r w:rsidR="00D767CC">
              <w:rPr>
                <w:noProof/>
                <w:webHidden/>
              </w:rPr>
              <w:fldChar w:fldCharType="end"/>
            </w:r>
          </w:hyperlink>
        </w:p>
        <w:p w:rsidR="00D767CC" w:rsidRDefault="0005690C" w:rsidP="00D767CC">
          <w:pPr>
            <w:pStyle w:val="TDC1"/>
            <w:ind w:left="1085"/>
            <w:rPr>
              <w:rFonts w:asciiTheme="minorHAnsi" w:eastAsiaTheme="minorEastAsia" w:hAnsiTheme="minorHAnsi" w:cstheme="minorBidi"/>
              <w:noProof/>
              <w:sz w:val="22"/>
              <w:szCs w:val="22"/>
              <w:bdr w:val="none" w:sz="0" w:space="0" w:color="auto"/>
              <w:lang w:eastAsia="es-MX"/>
            </w:rPr>
          </w:pPr>
          <w:hyperlink w:anchor="_Toc536458712" w:history="1">
            <w:r w:rsidR="00D767CC" w:rsidRPr="00A55350">
              <w:rPr>
                <w:rStyle w:val="Hipervnculo"/>
                <w:rFonts w:ascii="Symbol" w:hAnsi="Symbol"/>
                <w:noProof/>
              </w:rPr>
              <w:t></w:t>
            </w:r>
            <w:r w:rsidR="00D767CC">
              <w:rPr>
                <w:rFonts w:asciiTheme="minorHAnsi" w:eastAsiaTheme="minorEastAsia" w:hAnsiTheme="minorHAnsi" w:cstheme="minorBidi"/>
                <w:noProof/>
                <w:sz w:val="22"/>
                <w:szCs w:val="22"/>
                <w:bdr w:val="none" w:sz="0" w:space="0" w:color="auto"/>
                <w:lang w:eastAsia="es-MX"/>
              </w:rPr>
              <w:tab/>
            </w:r>
            <w:r w:rsidR="00D767CC" w:rsidRPr="00A55350">
              <w:rPr>
                <w:rStyle w:val="Hipervnculo"/>
                <w:noProof/>
              </w:rPr>
              <w:t>Resolución aprobada</w:t>
            </w:r>
            <w:r w:rsidR="00D767CC">
              <w:rPr>
                <w:noProof/>
                <w:webHidden/>
              </w:rPr>
              <w:tab/>
            </w:r>
            <w:r w:rsidR="00D767CC">
              <w:rPr>
                <w:noProof/>
                <w:webHidden/>
              </w:rPr>
              <w:fldChar w:fldCharType="begin"/>
            </w:r>
            <w:r w:rsidR="00D767CC">
              <w:rPr>
                <w:noProof/>
                <w:webHidden/>
              </w:rPr>
              <w:instrText xml:space="preserve"> PAGEREF _Toc536458712 \h </w:instrText>
            </w:r>
            <w:r w:rsidR="00D767CC">
              <w:rPr>
                <w:noProof/>
                <w:webHidden/>
              </w:rPr>
            </w:r>
            <w:r w:rsidR="00D767CC">
              <w:rPr>
                <w:noProof/>
                <w:webHidden/>
              </w:rPr>
              <w:fldChar w:fldCharType="separate"/>
            </w:r>
            <w:r w:rsidR="00C57328">
              <w:rPr>
                <w:noProof/>
                <w:webHidden/>
              </w:rPr>
              <w:t>9</w:t>
            </w:r>
            <w:r w:rsidR="00D767CC">
              <w:rPr>
                <w:noProof/>
                <w:webHidden/>
              </w:rPr>
              <w:fldChar w:fldCharType="end"/>
            </w:r>
          </w:hyperlink>
        </w:p>
        <w:p w:rsidR="00D767CC" w:rsidRDefault="0005690C" w:rsidP="00D767CC">
          <w:pPr>
            <w:pStyle w:val="TDC1"/>
            <w:ind w:left="1085"/>
            <w:rPr>
              <w:rFonts w:asciiTheme="minorHAnsi" w:eastAsiaTheme="minorEastAsia" w:hAnsiTheme="minorHAnsi" w:cstheme="minorBidi"/>
              <w:noProof/>
              <w:sz w:val="22"/>
              <w:szCs w:val="22"/>
              <w:bdr w:val="none" w:sz="0" w:space="0" w:color="auto"/>
              <w:lang w:eastAsia="es-MX"/>
            </w:rPr>
          </w:pPr>
          <w:hyperlink w:anchor="_Toc536458713" w:history="1">
            <w:r w:rsidR="00D767CC" w:rsidRPr="00A55350">
              <w:rPr>
                <w:rStyle w:val="Hipervnculo"/>
                <w:rFonts w:ascii="Symbol" w:hAnsi="Symbol"/>
                <w:noProof/>
              </w:rPr>
              <w:t></w:t>
            </w:r>
            <w:r w:rsidR="00D767CC">
              <w:rPr>
                <w:rFonts w:asciiTheme="minorHAnsi" w:eastAsiaTheme="minorEastAsia" w:hAnsiTheme="minorHAnsi" w:cstheme="minorBidi"/>
                <w:noProof/>
                <w:sz w:val="22"/>
                <w:szCs w:val="22"/>
                <w:bdr w:val="none" w:sz="0" w:space="0" w:color="auto"/>
                <w:lang w:eastAsia="es-MX"/>
              </w:rPr>
              <w:tab/>
            </w:r>
            <w:r w:rsidR="00D767CC" w:rsidRPr="00A55350">
              <w:rPr>
                <w:rStyle w:val="Hipervnculo"/>
                <w:noProof/>
              </w:rPr>
              <w:t>Utilidad social</w:t>
            </w:r>
            <w:r w:rsidR="00D767CC">
              <w:rPr>
                <w:noProof/>
                <w:webHidden/>
              </w:rPr>
              <w:tab/>
            </w:r>
            <w:r w:rsidR="00D767CC">
              <w:rPr>
                <w:noProof/>
                <w:webHidden/>
              </w:rPr>
              <w:fldChar w:fldCharType="begin"/>
            </w:r>
            <w:r w:rsidR="00D767CC">
              <w:rPr>
                <w:noProof/>
                <w:webHidden/>
              </w:rPr>
              <w:instrText xml:space="preserve"> PAGEREF _Toc536458713 \h </w:instrText>
            </w:r>
            <w:r w:rsidR="00D767CC">
              <w:rPr>
                <w:noProof/>
                <w:webHidden/>
              </w:rPr>
            </w:r>
            <w:r w:rsidR="00D767CC">
              <w:rPr>
                <w:noProof/>
                <w:webHidden/>
              </w:rPr>
              <w:fldChar w:fldCharType="separate"/>
            </w:r>
            <w:r w:rsidR="00C57328">
              <w:rPr>
                <w:noProof/>
                <w:webHidden/>
              </w:rPr>
              <w:t>12</w:t>
            </w:r>
            <w:r w:rsidR="00D767CC">
              <w:rPr>
                <w:noProof/>
                <w:webHidden/>
              </w:rPr>
              <w:fldChar w:fldCharType="end"/>
            </w:r>
          </w:hyperlink>
        </w:p>
        <w:p w:rsidR="00A3395D" w:rsidRPr="004F719D" w:rsidRDefault="00B82DF9" w:rsidP="00075028">
          <w:pPr>
            <w:spacing w:line="480" w:lineRule="auto"/>
            <w:rPr>
              <w:rFonts w:ascii="Palatino Linotype" w:hAnsi="Palatino Linotype"/>
              <w:b/>
              <w:bCs/>
              <w:color w:val="000000" w:themeColor="text1"/>
            </w:rPr>
          </w:pPr>
          <w:r w:rsidRPr="00075028">
            <w:rPr>
              <w:rFonts w:ascii="Palatino Linotype" w:hAnsi="Palatino Linotype"/>
              <w:b/>
              <w:bCs/>
              <w:color w:val="000000" w:themeColor="text1"/>
            </w:rPr>
            <w:fldChar w:fldCharType="end"/>
          </w:r>
        </w:p>
      </w:sdtContent>
    </w:sdt>
    <w:p w:rsidR="000D714D" w:rsidRPr="004F719D" w:rsidRDefault="00D767CC" w:rsidP="00A3395D">
      <w:pPr>
        <w:spacing w:line="360" w:lineRule="auto"/>
        <w:rPr>
          <w:rFonts w:ascii="Palatino Linotype" w:hAnsi="Palatino Linotype"/>
          <w:b/>
          <w:bCs/>
          <w:color w:val="000000" w:themeColor="text1"/>
        </w:rPr>
      </w:pPr>
      <w:r>
        <w:rPr>
          <w:rFonts w:ascii="Palatino Linotype" w:hAnsi="Palatino Linotype" w:cs="Arial"/>
          <w:noProof/>
          <w:bdr w:val="none" w:sz="0" w:space="0" w:color="auto"/>
          <w:lang w:eastAsia="es-MX"/>
        </w:rPr>
        <mc:AlternateContent>
          <mc:Choice Requires="wps">
            <w:drawing>
              <wp:anchor distT="0" distB="0" distL="114300" distR="114300" simplePos="0" relativeHeight="251663360" behindDoc="0" locked="0" layoutInCell="1" allowOverlap="1" wp14:anchorId="2442C345" wp14:editId="3049E9DC">
                <wp:simplePos x="0" y="0"/>
                <wp:positionH relativeFrom="column">
                  <wp:posOffset>120868</wp:posOffset>
                </wp:positionH>
                <wp:positionV relativeFrom="paragraph">
                  <wp:posOffset>69415</wp:posOffset>
                </wp:positionV>
                <wp:extent cx="5322627" cy="2872854"/>
                <wp:effectExtent l="0" t="0" r="30480" b="22860"/>
                <wp:wrapNone/>
                <wp:docPr id="6" name="Conector recto 6"/>
                <wp:cNvGraphicFramePr/>
                <a:graphic xmlns:a="http://schemas.openxmlformats.org/drawingml/2006/main">
                  <a:graphicData uri="http://schemas.microsoft.com/office/word/2010/wordprocessingShape">
                    <wps:wsp>
                      <wps:cNvCnPr/>
                      <wps:spPr>
                        <a:xfrm>
                          <a:off x="0" y="0"/>
                          <a:ext cx="5322627" cy="287285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CAE55"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45pt" to="428.6pt,2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" strokecolor="black [3200]" strokeweight="1.5pt">
                <v:stroke joinstyle="miter"/>
              </v:line>
            </w:pict>
          </mc:Fallback>
        </mc:AlternateContent>
      </w: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6E2911" w:rsidRPr="004F719D" w:rsidRDefault="006E2911" w:rsidP="00A3395D">
      <w:pPr>
        <w:spacing w:line="360" w:lineRule="auto"/>
        <w:rPr>
          <w:rFonts w:ascii="Palatino Linotype" w:hAnsi="Palatino Linotype"/>
          <w:b/>
          <w:bCs/>
          <w:color w:val="000000" w:themeColor="text1"/>
        </w:rPr>
      </w:pPr>
    </w:p>
    <w:p w:rsidR="006E2911" w:rsidRPr="004F719D" w:rsidRDefault="006E2911" w:rsidP="00A3395D">
      <w:pPr>
        <w:spacing w:line="360" w:lineRule="auto"/>
        <w:rPr>
          <w:rFonts w:ascii="Palatino Linotype" w:hAnsi="Palatino Linotype"/>
          <w:b/>
          <w:bCs/>
          <w:color w:val="000000" w:themeColor="text1"/>
        </w:rPr>
      </w:pPr>
    </w:p>
    <w:p w:rsidR="006E2911" w:rsidRDefault="006E2911" w:rsidP="00A3395D">
      <w:pPr>
        <w:spacing w:line="360" w:lineRule="auto"/>
        <w:rPr>
          <w:rFonts w:ascii="Palatino Linotype" w:hAnsi="Palatino Linotype"/>
          <w:b/>
          <w:bCs/>
          <w:color w:val="000000" w:themeColor="text1"/>
        </w:rPr>
      </w:pPr>
    </w:p>
    <w:p w:rsidR="00DC5E04" w:rsidRDefault="00DC5E04" w:rsidP="00A3395D">
      <w:pPr>
        <w:spacing w:line="360" w:lineRule="auto"/>
        <w:rPr>
          <w:rFonts w:ascii="Palatino Linotype" w:hAnsi="Palatino Linotype"/>
          <w:b/>
          <w:bCs/>
          <w:color w:val="000000" w:themeColor="text1"/>
        </w:rPr>
      </w:pPr>
    </w:p>
    <w:p w:rsidR="00A3395D" w:rsidRPr="004F719D" w:rsidRDefault="00343467" w:rsidP="0034346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rPr>
          <w:rFonts w:ascii="Palatino Linotype" w:eastAsiaTheme="majorEastAsia" w:hAnsi="Palatino Linotype" w:cstheme="majorBidi"/>
          <w:b/>
        </w:rPr>
      </w:pPr>
      <w:bookmarkStart w:id="0" w:name="_Toc493504860"/>
      <w:bookmarkStart w:id="1" w:name="_Toc536458706"/>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A339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4F719D" w:rsidRDefault="007B70C2" w:rsidP="00FF7100">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F719D">
        <w:rPr>
          <w:rFonts w:ascii="Palatino Linotype" w:hAnsi="Palatino Linotype" w:cs="Arial"/>
          <w:color w:val="000000" w:themeColor="text1"/>
        </w:rPr>
        <w:t xml:space="preserve">He concurrido con mi </w:t>
      </w:r>
      <w:r w:rsidRPr="004F719D">
        <w:rPr>
          <w:rFonts w:ascii="Palatino Linotype" w:hAnsi="Palatino Linotype" w:cs="Arial"/>
          <w:b/>
          <w:color w:val="000000" w:themeColor="text1"/>
        </w:rPr>
        <w:t>voto disidente</w:t>
      </w:r>
      <w:r w:rsidRPr="004F719D">
        <w:rPr>
          <w:rFonts w:ascii="Palatino Linotype" w:hAnsi="Palatino Linotype" w:cs="Arial"/>
          <w:color w:val="000000" w:themeColor="text1"/>
        </w:rPr>
        <w:t xml:space="preserve"> de la presente resolución emitida por el Pleno del Instituto de Transparencia, Acceso a la Información Pública y Protección de Datos Personales del Estado de México y Municipios, </w:t>
      </w:r>
      <w:r w:rsidR="006409B3" w:rsidRPr="004F719D">
        <w:rPr>
          <w:rFonts w:ascii="Palatino Linotype" w:hAnsi="Palatino Linotype" w:cs="Arial"/>
          <w:color w:val="000000" w:themeColor="text1"/>
        </w:rPr>
        <w:t xml:space="preserve">en </w:t>
      </w:r>
      <w:r w:rsidR="006409B3" w:rsidRPr="00EC2C5F">
        <w:rPr>
          <w:rFonts w:ascii="Palatino Linotype" w:hAnsi="Palatino Linotype" w:cs="Arial"/>
          <w:color w:val="000000" w:themeColor="text1"/>
        </w:rPr>
        <w:t xml:space="preserve">su </w:t>
      </w:r>
      <w:r w:rsidR="0054621F" w:rsidRPr="00EC2C5F">
        <w:rPr>
          <w:rFonts w:ascii="Palatino Linotype" w:eastAsia="Calibri" w:hAnsi="Palatino Linotype" w:cs="Arial"/>
        </w:rPr>
        <w:t>Tercer</w:t>
      </w:r>
      <w:r w:rsidR="00505CEE" w:rsidRPr="00EC2C5F">
        <w:rPr>
          <w:rFonts w:ascii="Palatino Linotype" w:eastAsia="Calibri" w:hAnsi="Palatino Linotype" w:cs="Arial"/>
        </w:rPr>
        <w:t xml:space="preserve">a Sesión Ordinaria celebrada el del día </w:t>
      </w:r>
      <w:r w:rsidR="0054621F" w:rsidRPr="00EC2C5F">
        <w:rPr>
          <w:rFonts w:ascii="Palatino Linotype" w:eastAsia="Calibri" w:hAnsi="Palatino Linotype" w:cs="Arial"/>
        </w:rPr>
        <w:t>veintitrés</w:t>
      </w:r>
      <w:r w:rsidR="00505CEE" w:rsidRPr="00EC2C5F">
        <w:rPr>
          <w:rFonts w:ascii="Palatino Linotype" w:eastAsia="Calibri" w:hAnsi="Palatino Linotype" w:cs="Arial"/>
        </w:rPr>
        <w:t xml:space="preserve"> (</w:t>
      </w:r>
      <w:r w:rsidR="0054621F" w:rsidRPr="00EC2C5F">
        <w:rPr>
          <w:rFonts w:ascii="Palatino Linotype" w:eastAsia="Calibri" w:hAnsi="Palatino Linotype" w:cs="Arial"/>
        </w:rPr>
        <w:t>23</w:t>
      </w:r>
      <w:r w:rsidR="00505CEE" w:rsidRPr="00EC2C5F">
        <w:rPr>
          <w:rFonts w:ascii="Palatino Linotype" w:eastAsia="Calibri" w:hAnsi="Palatino Linotype" w:cs="Arial"/>
        </w:rPr>
        <w:t>) de e</w:t>
      </w:r>
      <w:r w:rsidR="000E256B" w:rsidRPr="00EC2C5F">
        <w:rPr>
          <w:rFonts w:ascii="Palatino Linotype" w:eastAsia="Calibri" w:hAnsi="Palatino Linotype" w:cs="Arial"/>
        </w:rPr>
        <w:t>nero</w:t>
      </w:r>
      <w:r w:rsidRPr="00EC2C5F">
        <w:rPr>
          <w:rFonts w:ascii="Palatino Linotype" w:hAnsi="Palatino Linotype" w:cs="Arial"/>
          <w:color w:val="000000" w:themeColor="text1"/>
        </w:rPr>
        <w:t xml:space="preserve"> de dos mil dieci</w:t>
      </w:r>
      <w:r w:rsidR="000E256B" w:rsidRPr="00EC2C5F">
        <w:rPr>
          <w:rFonts w:ascii="Palatino Linotype" w:hAnsi="Palatino Linotype" w:cs="Arial"/>
          <w:color w:val="000000" w:themeColor="text1"/>
        </w:rPr>
        <w:t>nueve</w:t>
      </w:r>
      <w:r w:rsidRPr="00EC2C5F">
        <w:rPr>
          <w:rFonts w:ascii="Palatino Linotype" w:hAnsi="Palatino Linotype" w:cs="Arial"/>
          <w:color w:val="000000" w:themeColor="text1"/>
        </w:rPr>
        <w:t>,</w:t>
      </w:r>
      <w:r w:rsidRPr="004F719D">
        <w:rPr>
          <w:rFonts w:ascii="Palatino Linotype" w:hAnsi="Palatino Linotype" w:cs="Arial"/>
          <w:color w:val="000000" w:themeColor="text1"/>
        </w:rPr>
        <w:t xml:space="preserve"> en </w:t>
      </w:r>
      <w:r w:rsidR="007C5AD9">
        <w:rPr>
          <w:rFonts w:ascii="Palatino Linotype" w:hAnsi="Palatino Linotype" w:cs="Arial"/>
          <w:color w:val="000000" w:themeColor="text1"/>
        </w:rPr>
        <w:t>el recurso de revisión</w:t>
      </w:r>
      <w:r w:rsidRPr="004F719D">
        <w:rPr>
          <w:rFonts w:ascii="Palatino Linotype" w:hAnsi="Palatino Linotype" w:cs="Arial"/>
          <w:color w:val="000000" w:themeColor="text1"/>
        </w:rPr>
        <w:t xml:space="preserve"> al que se asignó el número de expediente </w:t>
      </w:r>
      <w:r w:rsidR="00FF7100">
        <w:rPr>
          <w:rFonts w:ascii="Palatino Linotype" w:hAnsi="Palatino Linotype" w:cs="Arial"/>
          <w:b/>
          <w:bCs/>
          <w:color w:val="000000" w:themeColor="text1"/>
        </w:rPr>
        <w:t>03153/INFOEM/IP/RR/2018</w:t>
      </w:r>
      <w:r w:rsidR="00A527F0" w:rsidRPr="004F719D">
        <w:rPr>
          <w:rFonts w:ascii="Palatino Linotype" w:hAnsi="Palatino Linotype" w:cs="Arial"/>
          <w:b/>
          <w:bCs/>
          <w:color w:val="000000" w:themeColor="text1"/>
        </w:rPr>
        <w:t>.</w:t>
      </w:r>
    </w:p>
    <w:p w:rsidR="003331EE" w:rsidRPr="004F719D" w:rsidRDefault="003331EE" w:rsidP="003331E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D21BC9" w:rsidRPr="00D21BC9" w:rsidRDefault="00FC148F" w:rsidP="00D21BC9">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rPr>
      </w:pPr>
      <w:r w:rsidRPr="004F719D">
        <w:rPr>
          <w:rFonts w:ascii="Palatino Linotype" w:eastAsia="Calibri" w:hAnsi="Palatino Linotype" w:cs="Arial"/>
        </w:rPr>
        <w:t>Lo anterior,</w:t>
      </w:r>
      <w:r w:rsidR="003331EE" w:rsidRPr="004F719D">
        <w:rPr>
          <w:rFonts w:ascii="Palatino Linotype" w:eastAsia="Calibri" w:hAnsi="Palatino Linotype" w:cs="Arial"/>
        </w:rPr>
        <w:t xml:space="preserve"> deriva </w:t>
      </w:r>
      <w:r w:rsidRPr="004F719D">
        <w:rPr>
          <w:rFonts w:ascii="Palatino Linotype" w:eastAsia="Calibri" w:hAnsi="Palatino Linotype" w:cs="Arial"/>
        </w:rPr>
        <w:t>en virtud</w:t>
      </w:r>
      <w:r w:rsidR="003331EE" w:rsidRPr="004F719D">
        <w:rPr>
          <w:rFonts w:ascii="Palatino Linotype" w:eastAsia="Calibri" w:hAnsi="Palatino Linotype" w:cs="Arial"/>
        </w:rPr>
        <w:t xml:space="preserve"> que en l</w:t>
      </w:r>
      <w:r w:rsidR="00A3395D" w:rsidRPr="004F719D">
        <w:rPr>
          <w:rFonts w:ascii="Palatino Linotype" w:eastAsia="Calibri" w:hAnsi="Palatino Linotype" w:cs="Arial"/>
        </w:rPr>
        <w:t xml:space="preserve">a resolución </w:t>
      </w:r>
      <w:r w:rsidR="000D714D" w:rsidRPr="004F719D">
        <w:rPr>
          <w:rFonts w:ascii="Palatino Linotype" w:eastAsia="Calibri" w:hAnsi="Palatino Linotype" w:cs="Arial"/>
        </w:rPr>
        <w:t>de mérito, se</w:t>
      </w:r>
      <w:r w:rsidRPr="004F719D">
        <w:rPr>
          <w:rFonts w:ascii="Palatino Linotype" w:eastAsia="Calibri" w:hAnsi="Palatino Linotype" w:cs="Arial"/>
        </w:rPr>
        <w:t xml:space="preserve"> determina </w:t>
      </w:r>
      <w:r w:rsidR="00D21BC9">
        <w:rPr>
          <w:rFonts w:ascii="Palatino Linotype" w:eastAsia="Calibri" w:hAnsi="Palatino Linotype" w:cs="Arial"/>
        </w:rPr>
        <w:t>confirmar</w:t>
      </w:r>
      <w:r w:rsidR="00A3395D" w:rsidRPr="004F719D">
        <w:rPr>
          <w:rFonts w:ascii="Palatino Linotype" w:eastAsia="Calibri" w:hAnsi="Palatino Linotype" w:cs="Arial"/>
        </w:rPr>
        <w:t xml:space="preserve"> </w:t>
      </w:r>
      <w:r w:rsidR="00D21BC9">
        <w:rPr>
          <w:rFonts w:ascii="Palatino Linotype" w:eastAsia="Calibri" w:hAnsi="Palatino Linotype" w:cs="Arial"/>
        </w:rPr>
        <w:t xml:space="preserve">la respuesta del Sujeto Obligado, </w:t>
      </w:r>
      <w:r w:rsidR="00EC2C5F">
        <w:rPr>
          <w:rFonts w:ascii="Palatino Linotype" w:eastAsia="Calibri" w:hAnsi="Palatino Linotype" w:cs="Arial"/>
        </w:rPr>
        <w:t>toda vez</w:t>
      </w:r>
      <w:r w:rsidR="00D21BC9">
        <w:rPr>
          <w:rFonts w:ascii="Palatino Linotype" w:eastAsia="Calibri" w:hAnsi="Palatino Linotype" w:cs="Arial"/>
        </w:rPr>
        <w:t xml:space="preserve"> que la Ponencia que resolvió, consideró</w:t>
      </w:r>
      <w:r w:rsidR="00D21BC9" w:rsidRPr="00D21BC9">
        <w:rPr>
          <w:rFonts w:ascii="Palatino Linotype" w:eastAsia="Calibri" w:hAnsi="Palatino Linotype" w:cs="Arial"/>
        </w:rPr>
        <w:t xml:space="preserve"> correcta la orientación  manifestada  por  Fiscalía General de Justicia del Estado de México,  </w:t>
      </w:r>
      <w:r w:rsidR="00D21BC9">
        <w:rPr>
          <w:rFonts w:ascii="Palatino Linotype" w:eastAsia="Calibri" w:hAnsi="Palatino Linotype" w:cs="Arial"/>
        </w:rPr>
        <w:t>para que</w:t>
      </w:r>
      <w:r w:rsidR="00D21BC9" w:rsidRPr="00D21BC9">
        <w:rPr>
          <w:rFonts w:ascii="Palatino Linotype" w:eastAsia="Calibri" w:hAnsi="Palatino Linotype" w:cs="Arial"/>
        </w:rPr>
        <w:t xml:space="preserve"> l</w:t>
      </w:r>
      <w:r w:rsidR="00D21BC9">
        <w:rPr>
          <w:rFonts w:ascii="Palatino Linotype" w:eastAsia="Calibri" w:hAnsi="Palatino Linotype" w:cs="Arial"/>
        </w:rPr>
        <w:t>a</w:t>
      </w:r>
      <w:r w:rsidR="00D21BC9" w:rsidRPr="00D21BC9">
        <w:rPr>
          <w:rFonts w:ascii="Palatino Linotype" w:eastAsia="Calibri" w:hAnsi="Palatino Linotype" w:cs="Arial"/>
        </w:rPr>
        <w:t xml:space="preserve"> particular, si lo considera de su interés, acuda ante la agencia del </w:t>
      </w:r>
      <w:r w:rsidR="007C5AD9" w:rsidRPr="00D21BC9">
        <w:rPr>
          <w:rFonts w:ascii="Palatino Linotype" w:eastAsia="Calibri" w:hAnsi="Palatino Linotype" w:cs="Arial"/>
        </w:rPr>
        <w:t>M</w:t>
      </w:r>
      <w:r w:rsidR="007C5AD9">
        <w:rPr>
          <w:rFonts w:ascii="Palatino Linotype" w:eastAsia="Calibri" w:hAnsi="Palatino Linotype" w:cs="Arial"/>
        </w:rPr>
        <w:t xml:space="preserve">inisterio </w:t>
      </w:r>
      <w:r w:rsidR="00D21BC9" w:rsidRPr="00D21BC9">
        <w:rPr>
          <w:rFonts w:ascii="Palatino Linotype" w:eastAsia="Calibri" w:hAnsi="Palatino Linotype" w:cs="Arial"/>
        </w:rPr>
        <w:t>P</w:t>
      </w:r>
      <w:r w:rsidR="007C5AD9">
        <w:rPr>
          <w:rFonts w:ascii="Palatino Linotype" w:eastAsia="Calibri" w:hAnsi="Palatino Linotype" w:cs="Arial"/>
        </w:rPr>
        <w:t>úblico</w:t>
      </w:r>
      <w:r w:rsidR="00D21BC9" w:rsidRPr="00D21BC9">
        <w:rPr>
          <w:rFonts w:ascii="Palatino Linotype" w:eastAsia="Calibri" w:hAnsi="Palatino Linotype" w:cs="Arial"/>
        </w:rPr>
        <w:t xml:space="preserve"> resguardante de la Carpeta de investigación </w:t>
      </w:r>
      <w:r w:rsidR="00D21BC9">
        <w:rPr>
          <w:rFonts w:ascii="Palatino Linotype" w:eastAsia="Calibri" w:hAnsi="Palatino Linotype" w:cs="Arial"/>
        </w:rPr>
        <w:t>señalada en la solicitud de información</w:t>
      </w:r>
      <w:r w:rsidR="00D21BC9" w:rsidRPr="00D21BC9">
        <w:rPr>
          <w:rFonts w:ascii="Palatino Linotype" w:eastAsia="Calibri" w:hAnsi="Palatino Linotype" w:cs="Arial"/>
        </w:rPr>
        <w:t xml:space="preserve"> y solicite acceso en consulta directa a dicho expediente, previa acreditación de su personalidad.</w:t>
      </w:r>
    </w:p>
    <w:p w:rsidR="00D21BC9" w:rsidRPr="00D21BC9" w:rsidRDefault="00D21BC9" w:rsidP="00D21BC9">
      <w:pPr>
        <w:pStyle w:val="Prrafodelista"/>
        <w:rPr>
          <w:rFonts w:ascii="Palatino Linotype" w:eastAsia="Calibri" w:hAnsi="Palatino Linotype" w:cs="Arial"/>
        </w:rPr>
      </w:pPr>
    </w:p>
    <w:p w:rsidR="00F742C0" w:rsidRPr="004F719D" w:rsidRDefault="00F742C0" w:rsidP="00D21BC9">
      <w:pPr>
        <w:pStyle w:val="Prrafodelista"/>
        <w:rPr>
          <w:rFonts w:ascii="Palatino Linotype" w:hAnsi="Palatino Linotype" w:cs="Arial"/>
          <w:color w:val="000000" w:themeColor="text1"/>
        </w:rPr>
      </w:pPr>
    </w:p>
    <w:p w:rsidR="007B70C2" w:rsidRPr="004F719D" w:rsidRDefault="00F742C0" w:rsidP="00D21BC9">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F719D">
        <w:rPr>
          <w:rFonts w:ascii="Palatino Linotype" w:hAnsi="Palatino Linotype" w:cs="Arial"/>
          <w:color w:val="000000" w:themeColor="text1"/>
        </w:rPr>
        <w:t>R</w:t>
      </w:r>
      <w:r w:rsidR="000D714D" w:rsidRPr="004F719D">
        <w:rPr>
          <w:rFonts w:ascii="Palatino Linotype" w:hAnsi="Palatino Linotype" w:cs="Arial"/>
          <w:color w:val="000000" w:themeColor="text1"/>
        </w:rPr>
        <w:t>azonamiento del que me aparto, p</w:t>
      </w:r>
      <w:r w:rsidR="007B70C2" w:rsidRPr="004F719D">
        <w:rPr>
          <w:rFonts w:ascii="Palatino Linotype" w:hAnsi="Palatino Linotype" w:cs="Arial"/>
          <w:color w:val="000000" w:themeColor="text1"/>
        </w:rPr>
        <w:t xml:space="preserve">or los motivos y las razones de hecho y de derecho que se señalan a continuación y en términos de lo señalado por </w:t>
      </w:r>
      <w:r w:rsidR="00E12C1D" w:rsidRPr="004F719D">
        <w:rPr>
          <w:rFonts w:ascii="Palatino Linotype" w:hAnsi="Palatino Linotype" w:cs="Arial"/>
          <w:color w:val="000000" w:themeColor="text1"/>
        </w:rPr>
        <w:t>el</w:t>
      </w:r>
      <w:r w:rsidR="007B70C2" w:rsidRPr="004F719D">
        <w:rPr>
          <w:rFonts w:ascii="Palatino Linotype" w:hAnsi="Palatino Linotype" w:cs="Arial"/>
          <w:color w:val="000000" w:themeColor="text1"/>
        </w:rPr>
        <w:t xml:space="preserve"> </w:t>
      </w:r>
      <w:r w:rsidR="00E12C1D" w:rsidRPr="004F719D">
        <w:rPr>
          <w:rFonts w:ascii="Palatino Linotype" w:hAnsi="Palatino Linotype" w:cs="Arial"/>
          <w:color w:val="000000" w:themeColor="text1"/>
        </w:rPr>
        <w:t>artículo</w:t>
      </w:r>
      <w:r w:rsidR="007B70C2" w:rsidRPr="004F719D">
        <w:rPr>
          <w:rFonts w:ascii="Palatino Linotype" w:hAnsi="Palatino Linotype" w:cs="Arial"/>
          <w:color w:val="000000" w:themeColor="text1"/>
        </w:rPr>
        <w:t xml:space="preserve"> </w:t>
      </w:r>
      <w:r w:rsidR="00E12C1D" w:rsidRPr="004F719D">
        <w:rPr>
          <w:rFonts w:ascii="Palatino Linotype" w:hAnsi="Palatino Linotype" w:cs="Arial"/>
          <w:color w:val="000000" w:themeColor="text1"/>
        </w:rPr>
        <w:t>14</w:t>
      </w:r>
      <w:r w:rsidR="007B70C2" w:rsidRPr="004F719D">
        <w:rPr>
          <w:rFonts w:ascii="Palatino Linotype" w:hAnsi="Palatino Linotype" w:cs="Arial"/>
          <w:color w:val="000000" w:themeColor="text1"/>
        </w:rPr>
        <w:t xml:space="preserve"> fracción </w:t>
      </w:r>
      <w:r w:rsidR="00E12C1D" w:rsidRPr="004F719D">
        <w:rPr>
          <w:rFonts w:ascii="Palatino Linotype" w:hAnsi="Palatino Linotype" w:cs="Arial"/>
          <w:color w:val="000000" w:themeColor="text1"/>
        </w:rPr>
        <w:t>XI</w:t>
      </w:r>
      <w:r w:rsidR="007B70C2" w:rsidRPr="004F719D">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4F719D">
        <w:rPr>
          <w:rFonts w:ascii="Palatino Linotype" w:hAnsi="Palatino Linotype" w:cs="Arial"/>
          <w:color w:val="000000" w:themeColor="text1"/>
        </w:rPr>
        <w:t>,</w:t>
      </w:r>
      <w:r w:rsidR="007B70C2" w:rsidRPr="004F719D">
        <w:rPr>
          <w:rFonts w:ascii="Palatino Linotype" w:hAnsi="Palatino Linotype" w:cs="Arial"/>
          <w:color w:val="000000" w:themeColor="text1"/>
        </w:rPr>
        <w:t xml:space="preserve"> formulo el presente voto disidente. </w:t>
      </w:r>
    </w:p>
    <w:p w:rsidR="00FC0B18" w:rsidRPr="00D767CC" w:rsidRDefault="007B70C2" w:rsidP="00D21BC9">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F719D">
        <w:rPr>
          <w:rFonts w:ascii="Palatino Linotype" w:hAnsi="Palatino Linotype" w:cs="Arial"/>
          <w:color w:val="000000" w:themeColor="text1"/>
          <w:lang w:val="es-ES"/>
        </w:rPr>
        <w:lastRenderedPageBreak/>
        <w:t>Al presentar este voto disidente deseo manifestar lo que en su momento señalé durante la discusión de esta res</w:t>
      </w:r>
      <w:r w:rsidR="00FC0B18" w:rsidRPr="004F719D">
        <w:rPr>
          <w:rFonts w:ascii="Palatino Linotype" w:hAnsi="Palatino Linotype" w:cs="Arial"/>
          <w:color w:val="000000" w:themeColor="text1"/>
          <w:lang w:val="es-ES"/>
        </w:rPr>
        <w:t>olución</w:t>
      </w:r>
      <w:r w:rsidR="007A4E77" w:rsidRPr="004F719D">
        <w:rPr>
          <w:rFonts w:ascii="Palatino Linotype" w:hAnsi="Palatino Linotype" w:cs="Arial"/>
          <w:color w:val="000000" w:themeColor="text1"/>
          <w:lang w:val="es-ES"/>
        </w:rPr>
        <w:t xml:space="preserve"> en el Pleno de este órgano Garante, e</w:t>
      </w:r>
      <w:r w:rsidR="00FC0B18" w:rsidRPr="004F719D">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4F719D">
        <w:rPr>
          <w:rFonts w:ascii="Palatino Linotype" w:hAnsi="Palatino Linotype" w:cs="Arial"/>
          <w:color w:val="000000" w:themeColor="text1"/>
          <w:lang w:val="es-ES"/>
        </w:rPr>
        <w:t>P</w:t>
      </w:r>
      <w:r w:rsidR="00FC0B18" w:rsidRPr="004F719D">
        <w:rPr>
          <w:rFonts w:ascii="Palatino Linotype" w:hAnsi="Palatino Linotype" w:cs="Arial"/>
          <w:color w:val="000000" w:themeColor="text1"/>
          <w:lang w:val="es-ES"/>
        </w:rPr>
        <w:t xml:space="preserve">leno, en el sentido </w:t>
      </w:r>
      <w:r w:rsidR="00343467" w:rsidRPr="004F719D">
        <w:rPr>
          <w:rFonts w:ascii="Palatino Linotype" w:hAnsi="Palatino Linotype" w:cs="Arial"/>
          <w:color w:val="000000" w:themeColor="text1"/>
          <w:lang w:val="es-ES"/>
        </w:rPr>
        <w:t xml:space="preserve">y razonamientos </w:t>
      </w:r>
      <w:r w:rsidR="00FC0B18" w:rsidRPr="004F719D">
        <w:rPr>
          <w:rFonts w:ascii="Palatino Linotype" w:hAnsi="Palatino Linotype" w:cs="Arial"/>
          <w:color w:val="000000" w:themeColor="text1"/>
          <w:lang w:val="es-ES"/>
        </w:rPr>
        <w:t>de la resol</w:t>
      </w:r>
      <w:r w:rsidR="000D714D" w:rsidRPr="004F719D">
        <w:rPr>
          <w:rFonts w:ascii="Palatino Linotype" w:hAnsi="Palatino Linotype" w:cs="Arial"/>
          <w:color w:val="000000" w:themeColor="text1"/>
          <w:lang w:val="es-ES"/>
        </w:rPr>
        <w:t>ución del recurso de revisión</w:t>
      </w:r>
      <w:r w:rsidR="00FC0B18" w:rsidRPr="004F719D">
        <w:rPr>
          <w:rFonts w:ascii="Palatino Linotype" w:hAnsi="Palatino Linotype" w:cs="Arial"/>
          <w:color w:val="000000" w:themeColor="text1"/>
          <w:lang w:val="es-ES"/>
        </w:rPr>
        <w:t xml:space="preserve"> registrado con el número </w:t>
      </w:r>
      <w:r w:rsidR="000D714D" w:rsidRPr="004F719D">
        <w:rPr>
          <w:rFonts w:ascii="Palatino Linotype" w:hAnsi="Palatino Linotype" w:cs="Arial"/>
          <w:color w:val="000000" w:themeColor="text1"/>
          <w:lang w:val="es-ES"/>
        </w:rPr>
        <w:t>de expediente al rubro indicado, por las consideraciones que se plasman en los párrafos siguientes.</w:t>
      </w:r>
    </w:p>
    <w:p w:rsidR="00D767CC" w:rsidRPr="00781316" w:rsidRDefault="00D767CC" w:rsidP="00D767C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81316" w:rsidRPr="00781316" w:rsidRDefault="00781316" w:rsidP="00781316">
      <w:pPr>
        <w:pStyle w:val="Prrafodelista"/>
        <w:rPr>
          <w:rFonts w:ascii="Palatino Linotype" w:hAnsi="Palatino Linotype" w:cs="Arial"/>
          <w:color w:val="000000" w:themeColor="text1"/>
        </w:rPr>
      </w:pPr>
    </w:p>
    <w:p w:rsidR="00A410B3" w:rsidRPr="004F719D" w:rsidRDefault="00A410B3" w:rsidP="00EE1E46">
      <w:pPr>
        <w:pStyle w:val="Ttulo1"/>
      </w:pPr>
      <w:bookmarkStart w:id="2" w:name="_Toc473810012"/>
      <w:bookmarkStart w:id="3" w:name="_Toc536458707"/>
      <w:bookmarkStart w:id="4" w:name="_Toc472594392"/>
      <w:bookmarkStart w:id="5" w:name="_Toc485911590"/>
      <w:r w:rsidRPr="004F719D">
        <w:t>De los requerimientos planteados en el recurso de revisión.</w:t>
      </w:r>
      <w:bookmarkEnd w:id="2"/>
      <w:bookmarkEnd w:id="3"/>
    </w:p>
    <w:p w:rsidR="00A410B3" w:rsidRPr="004F719D" w:rsidRDefault="00A410B3" w:rsidP="00A410B3">
      <w:pPr>
        <w:pStyle w:val="Prrafodelista"/>
        <w:spacing w:line="360" w:lineRule="auto"/>
        <w:ind w:left="1080"/>
        <w:jc w:val="both"/>
        <w:rPr>
          <w:rFonts w:ascii="Palatino Linotype" w:hAnsi="Palatino Linotype" w:cs="Arial"/>
          <w:b/>
        </w:rPr>
      </w:pPr>
    </w:p>
    <w:p w:rsidR="00A410B3" w:rsidRPr="00A94BEC" w:rsidRDefault="00D21BC9" w:rsidP="00D21BC9">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cs="Arial"/>
        </w:rPr>
      </w:pPr>
      <w:r>
        <w:rPr>
          <w:rFonts w:ascii="Palatino Linotype" w:hAnsi="Palatino Linotype" w:cs="Arial"/>
        </w:rPr>
        <w:t>M</w:t>
      </w:r>
      <w:r w:rsidR="00A410B3" w:rsidRPr="004F719D">
        <w:rPr>
          <w:rFonts w:ascii="Palatino Linotype" w:hAnsi="Palatino Linotype" w:cs="Arial"/>
        </w:rPr>
        <w:t xml:space="preserve">ediante solicitud de acceso a </w:t>
      </w:r>
      <w:r>
        <w:rPr>
          <w:rFonts w:ascii="Palatino Linotype" w:hAnsi="Palatino Linotype" w:cs="Arial"/>
        </w:rPr>
        <w:t>información pública, se</w:t>
      </w:r>
      <w:r w:rsidR="00A410B3" w:rsidRPr="004F719D">
        <w:rPr>
          <w:rFonts w:ascii="Palatino Linotype" w:hAnsi="Palatino Linotype" w:cs="Arial"/>
        </w:rPr>
        <w:t xml:space="preserve"> requirió la información siguiente: </w:t>
      </w:r>
    </w:p>
    <w:p w:rsidR="00A94BEC" w:rsidRPr="004F719D" w:rsidRDefault="00A94BEC" w:rsidP="00A94BE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cs="Arial"/>
        </w:rPr>
      </w:pPr>
    </w:p>
    <w:p w:rsidR="00A410B3" w:rsidRDefault="005877AF" w:rsidP="00A410B3">
      <w:pPr>
        <w:pStyle w:val="Sinespaciado"/>
        <w:tabs>
          <w:tab w:val="left" w:pos="142"/>
        </w:tabs>
        <w:spacing w:line="360" w:lineRule="auto"/>
        <w:ind w:left="567" w:right="334"/>
        <w:jc w:val="both"/>
        <w:rPr>
          <w:rFonts w:ascii="Palatino Linotype" w:hAnsi="Palatino Linotype" w:cs="Arial"/>
          <w:i/>
          <w:color w:val="000000" w:themeColor="text1"/>
          <w:sz w:val="24"/>
          <w:szCs w:val="24"/>
        </w:rPr>
      </w:pPr>
      <w:r w:rsidRPr="00781316">
        <w:rPr>
          <w:rFonts w:ascii="Palatino Linotype" w:hAnsi="Palatino Linotype" w:cs="Arial"/>
          <w:i/>
          <w:color w:val="000000" w:themeColor="text1"/>
          <w:sz w:val="24"/>
          <w:szCs w:val="24"/>
        </w:rPr>
        <w:t xml:space="preserve"> </w:t>
      </w:r>
      <w:r w:rsidR="00781316" w:rsidRPr="00781316">
        <w:rPr>
          <w:rFonts w:ascii="Palatino Linotype" w:hAnsi="Palatino Linotype" w:cs="Arial"/>
          <w:i/>
          <w:color w:val="000000" w:themeColor="text1"/>
          <w:sz w:val="24"/>
          <w:szCs w:val="24"/>
        </w:rPr>
        <w:t>“</w:t>
      </w:r>
      <w:r w:rsidR="004C6FB0" w:rsidRPr="004C6FB0">
        <w:rPr>
          <w:rFonts w:ascii="Palatino Linotype" w:hAnsi="Palatino Linotype" w:cs="Arial"/>
          <w:i/>
          <w:color w:val="000000" w:themeColor="text1"/>
          <w:sz w:val="24"/>
          <w:szCs w:val="24"/>
        </w:rPr>
        <w:t xml:space="preserve">Solicito copia simple y mediante el sistema denominado SAIMEX, de la carpeta de investigación con numero NUC: CHA/FHO/UHI/041/108461/18/05 en versión publica, de la Fiscalía Especializada </w:t>
      </w:r>
      <w:r w:rsidR="00324E8A" w:rsidRPr="00324E8A">
        <w:rPr>
          <w:rFonts w:ascii="Palatino Linotype" w:hAnsi="Palatino Linotype" w:cs="Arial"/>
          <w:i/>
          <w:color w:val="000000" w:themeColor="text1"/>
          <w:sz w:val="24"/>
          <w:szCs w:val="24"/>
          <w:highlight w:val="black"/>
        </w:rPr>
        <w:t>XXXXXXXXXXXXXX</w:t>
      </w:r>
      <w:r w:rsidR="004C6FB0" w:rsidRPr="004C6FB0">
        <w:rPr>
          <w:rFonts w:ascii="Palatino Linotype" w:hAnsi="Palatino Linotype" w:cs="Arial"/>
          <w:i/>
          <w:color w:val="000000" w:themeColor="text1"/>
          <w:sz w:val="24"/>
          <w:szCs w:val="24"/>
        </w:rPr>
        <w:t>, anexo mediante archivo copia de la caratula del expediente que necesito, así mismo hago contar que soy la parte afectada.</w:t>
      </w:r>
      <w:r w:rsidR="00781316" w:rsidRPr="00781316">
        <w:rPr>
          <w:rFonts w:ascii="Palatino Linotype" w:hAnsi="Palatino Linotype" w:cs="Arial"/>
          <w:i/>
          <w:color w:val="000000" w:themeColor="text1"/>
          <w:sz w:val="24"/>
          <w:szCs w:val="24"/>
        </w:rPr>
        <w:t>” (Sic)</w:t>
      </w:r>
    </w:p>
    <w:p w:rsidR="00A94BEC" w:rsidRPr="004F719D" w:rsidRDefault="00A94BEC" w:rsidP="00A410B3">
      <w:pPr>
        <w:pStyle w:val="Sinespaciado"/>
        <w:tabs>
          <w:tab w:val="left" w:pos="142"/>
        </w:tabs>
        <w:spacing w:line="360" w:lineRule="auto"/>
        <w:ind w:left="567" w:right="334"/>
        <w:jc w:val="both"/>
        <w:rPr>
          <w:rFonts w:ascii="Palatino Linotype" w:hAnsi="Palatino Linotype" w:cs="Arial"/>
          <w:i/>
          <w:color w:val="000000" w:themeColor="text1"/>
          <w:sz w:val="24"/>
          <w:szCs w:val="24"/>
        </w:rPr>
      </w:pPr>
    </w:p>
    <w:p w:rsidR="00A410B3" w:rsidRDefault="00A94BEC" w:rsidP="00A94BEC">
      <w:pPr>
        <w:pStyle w:val="Sinespaciado"/>
        <w:numPr>
          <w:ilvl w:val="0"/>
          <w:numId w:val="49"/>
        </w:numPr>
        <w:spacing w:line="360" w:lineRule="auto"/>
        <w:ind w:left="851" w:right="334"/>
        <w:jc w:val="both"/>
        <w:rPr>
          <w:rFonts w:ascii="Palatino Linotype" w:hAnsi="Palatino Linotype" w:cs="Arial"/>
          <w:color w:val="000000" w:themeColor="text1"/>
          <w:sz w:val="24"/>
          <w:szCs w:val="24"/>
        </w:rPr>
      </w:pPr>
      <w:r w:rsidRPr="00A94BEC">
        <w:rPr>
          <w:rFonts w:ascii="Palatino Linotype" w:hAnsi="Palatino Linotype" w:cs="Arial"/>
          <w:color w:val="000000" w:themeColor="text1"/>
          <w:sz w:val="24"/>
          <w:szCs w:val="24"/>
        </w:rPr>
        <w:t xml:space="preserve">Asimismo, adjuntó a su solicitud de información el archivo </w:t>
      </w:r>
      <w:r>
        <w:rPr>
          <w:rFonts w:ascii="Palatino Linotype" w:hAnsi="Palatino Linotype" w:cs="Arial"/>
          <w:color w:val="000000" w:themeColor="text1"/>
          <w:sz w:val="24"/>
          <w:szCs w:val="24"/>
        </w:rPr>
        <w:t>electrónico</w:t>
      </w:r>
      <w:r w:rsidRPr="00A94BEC">
        <w:rPr>
          <w:rFonts w:ascii="Palatino Linotype" w:hAnsi="Palatino Linotype" w:cs="Arial"/>
          <w:color w:val="000000" w:themeColor="text1"/>
          <w:sz w:val="24"/>
          <w:szCs w:val="24"/>
        </w:rPr>
        <w:t xml:space="preserve"> denominado “PHOTO-2018-06-26-11-10-53.jpg</w:t>
      </w:r>
      <w:r>
        <w:rPr>
          <w:rFonts w:ascii="Palatino Linotype" w:hAnsi="Palatino Linotype" w:cs="Arial"/>
          <w:color w:val="000000" w:themeColor="text1"/>
          <w:sz w:val="24"/>
          <w:szCs w:val="24"/>
        </w:rPr>
        <w:t>, mediante el cual pretende demostrar que es la parte ofendida.</w:t>
      </w:r>
    </w:p>
    <w:p w:rsidR="00A410B3" w:rsidRPr="004F719D" w:rsidRDefault="00075028" w:rsidP="00956C6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lastRenderedPageBreak/>
        <w:t xml:space="preserve">Posteriormente, derivado de la contestación emitida, </w:t>
      </w:r>
      <w:r w:rsidR="004A6F87">
        <w:rPr>
          <w:rFonts w:ascii="Palatino Linotype" w:hAnsi="Palatino Linotype" w:cs="Arial"/>
        </w:rPr>
        <w:t>l</w:t>
      </w:r>
      <w:r w:rsidR="00A94BEC">
        <w:rPr>
          <w:rFonts w:ascii="Palatino Linotype" w:hAnsi="Palatino Linotype" w:cs="Arial"/>
        </w:rPr>
        <w:t>a</w:t>
      </w:r>
      <w:r w:rsidR="00C648C5" w:rsidRPr="004F719D">
        <w:rPr>
          <w:rFonts w:ascii="Palatino Linotype" w:hAnsi="Palatino Linotype" w:cs="Arial"/>
        </w:rPr>
        <w:t xml:space="preserve"> hoy recurrente</w:t>
      </w:r>
      <w:r w:rsidR="00A410B3" w:rsidRPr="004F719D">
        <w:rPr>
          <w:rFonts w:ascii="Palatino Linotype" w:hAnsi="Palatino Linotype" w:cs="Arial"/>
        </w:rPr>
        <w:t xml:space="preserve"> manifestó en su recurso de revisión como acto impugnado, y como razones o motivos de inconformidad los siguientes:</w:t>
      </w:r>
    </w:p>
    <w:p w:rsidR="00CF16BC" w:rsidRPr="004F719D" w:rsidRDefault="00CF16BC" w:rsidP="00CF16B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A94BEC" w:rsidRDefault="00A94BEC" w:rsidP="00A94BEC">
      <w:pPr>
        <w:pStyle w:val="Prrafodelista"/>
        <w:numPr>
          <w:ilvl w:val="0"/>
          <w:numId w:val="50"/>
        </w:numPr>
        <w:tabs>
          <w:tab w:val="left" w:pos="567"/>
        </w:tabs>
        <w:spacing w:line="360" w:lineRule="auto"/>
        <w:ind w:right="567"/>
        <w:jc w:val="both"/>
        <w:rPr>
          <w:rFonts w:ascii="Palatino Linotype" w:eastAsia="Calibri" w:hAnsi="Palatino Linotype" w:cs="Arial"/>
          <w:color w:val="000000" w:themeColor="text1"/>
          <w:sz w:val="22"/>
          <w:szCs w:val="22"/>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bookmarkStart w:id="32" w:name="_Toc528233981"/>
      <w:bookmarkStart w:id="33" w:name="_Toc528234033"/>
      <w:bookmarkStart w:id="34" w:name="_Toc536458522"/>
      <w:bookmarkStart w:id="35" w:name="_Toc536458679"/>
      <w:bookmarkStart w:id="36" w:name="_Toc536458708"/>
      <w:r w:rsidRPr="00A94BEC">
        <w:rPr>
          <w:rStyle w:val="Ttulo2Car"/>
          <w:rFonts w:ascii="Palatino Linotype" w:hAnsi="Palatino Linotype"/>
          <w:b/>
          <w:color w:val="000000" w:themeColor="text1"/>
          <w:sz w:val="22"/>
          <w:szCs w:val="22"/>
          <w:lang w:val="es-ES"/>
        </w:rPr>
        <w:t>Acto impugnado:</w:t>
      </w:r>
      <w:bookmarkStart w:id="37" w:name="_Toc464139198"/>
      <w:bookmarkStart w:id="38" w:name="_Toc471981163"/>
      <w:bookmarkStart w:id="39" w:name="_Toc471981318"/>
      <w:bookmarkStart w:id="40" w:name="_Toc472780345"/>
      <w:bookmarkStart w:id="41" w:name="_Toc473229706"/>
      <w:bookmarkStart w:id="42" w:name="_Toc473651752"/>
      <w:bookmarkStart w:id="43" w:name="_Toc476135273"/>
      <w:bookmarkStart w:id="44" w:name="_Toc476135582"/>
      <w:bookmarkStart w:id="45" w:name="_Toc476765028"/>
      <w:bookmarkStart w:id="46" w:name="_Toc476766284"/>
      <w:bookmarkStart w:id="47" w:name="_Toc476766379"/>
      <w:bookmarkStart w:id="48"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94BEC">
        <w:rPr>
          <w:rStyle w:val="Ttulo2Car"/>
          <w:rFonts w:ascii="Palatino Linotype" w:hAnsi="Palatino Linotype"/>
          <w:color w:val="000000" w:themeColor="text1"/>
          <w:sz w:val="22"/>
          <w:szCs w:val="22"/>
          <w:lang w:val="es-ES"/>
        </w:rPr>
        <w:t xml:space="preserve"> </w:t>
      </w:r>
      <w:bookmarkStart w:id="49" w:name="_Toc481092628"/>
      <w:bookmarkStart w:id="50" w:name="_Toc487053685"/>
      <w:bookmarkStart w:id="51" w:name="_Toc487053880"/>
      <w:bookmarkStart w:id="52" w:name="_Toc494915460"/>
      <w:bookmarkStart w:id="53" w:name="_Toc494920819"/>
      <w:bookmarkStart w:id="54" w:name="_Toc494920991"/>
      <w:r w:rsidRPr="00A94BEC">
        <w:rPr>
          <w:rStyle w:val="Ttulo2Car"/>
          <w:rFonts w:ascii="Palatino Linotype" w:hAnsi="Palatino Linotype"/>
          <w:i/>
          <w:color w:val="000000" w:themeColor="text1"/>
          <w:sz w:val="22"/>
          <w:szCs w:val="22"/>
          <w:lang w:val="es-ES"/>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A94BEC">
        <w:rPr>
          <w:rFonts w:ascii="Palatino Linotype" w:eastAsiaTheme="majorEastAsia" w:hAnsi="Palatino Linotype" w:cstheme="majorBidi"/>
          <w:i/>
          <w:color w:val="000000" w:themeColor="text1"/>
          <w:sz w:val="22"/>
          <w:szCs w:val="22"/>
        </w:rPr>
        <w:t>La respuesta que está dando el servidor público “sujeto obligado”</w:t>
      </w:r>
      <w:r w:rsidRPr="00A94BEC">
        <w:rPr>
          <w:rFonts w:ascii="Palatino Linotype" w:eastAsia="Calibri" w:hAnsi="Palatino Linotype" w:cs="Arial"/>
          <w:color w:val="000000" w:themeColor="text1"/>
          <w:sz w:val="22"/>
          <w:szCs w:val="22"/>
          <w:lang w:val="es-ES"/>
        </w:rPr>
        <w:t xml:space="preserve"> (Sic).</w:t>
      </w:r>
      <w:bookmarkStart w:id="55" w:name="_Toc478584833"/>
      <w:bookmarkStart w:id="56" w:name="_Toc479274981"/>
      <w:bookmarkStart w:id="57" w:name="_Toc479275049"/>
      <w:bookmarkStart w:id="58" w:name="_Toc479275095"/>
      <w:bookmarkStart w:id="59" w:name="_Toc481092629"/>
      <w:bookmarkStart w:id="60" w:name="_Toc487053686"/>
      <w:bookmarkStart w:id="61" w:name="_Toc487053881"/>
      <w:bookmarkStart w:id="62" w:name="_Toc494915461"/>
      <w:bookmarkStart w:id="63" w:name="_Toc494920992"/>
      <w:bookmarkStart w:id="64" w:name="_Toc494998349"/>
      <w:bookmarkStart w:id="65" w:name="_Toc495430767"/>
      <w:bookmarkStart w:id="66" w:name="_Toc528233982"/>
      <w:bookmarkStart w:id="67" w:name="_Toc528234034"/>
    </w:p>
    <w:p w:rsidR="00A94BEC" w:rsidRPr="00A94BEC" w:rsidRDefault="00A94BEC" w:rsidP="00A94BEC">
      <w:pPr>
        <w:pStyle w:val="Prrafodelista"/>
        <w:tabs>
          <w:tab w:val="left" w:pos="567"/>
        </w:tabs>
        <w:spacing w:line="360" w:lineRule="auto"/>
        <w:ind w:left="927" w:right="567"/>
        <w:jc w:val="both"/>
        <w:rPr>
          <w:rStyle w:val="Ttulo2Car"/>
          <w:rFonts w:ascii="Palatino Linotype" w:eastAsia="Calibri" w:hAnsi="Palatino Linotype" w:cs="Arial"/>
          <w:color w:val="000000" w:themeColor="text1"/>
          <w:sz w:val="22"/>
          <w:szCs w:val="22"/>
          <w:lang w:val="es-ES"/>
        </w:rPr>
      </w:pPr>
    </w:p>
    <w:p w:rsidR="00A94BEC" w:rsidRPr="007C5AD9" w:rsidRDefault="00A94BEC" w:rsidP="00A94BEC">
      <w:pPr>
        <w:pStyle w:val="Prrafodelista"/>
        <w:numPr>
          <w:ilvl w:val="0"/>
          <w:numId w:val="50"/>
        </w:numPr>
        <w:tabs>
          <w:tab w:val="left" w:pos="567"/>
        </w:tabs>
        <w:spacing w:line="360" w:lineRule="auto"/>
        <w:ind w:right="567"/>
        <w:jc w:val="both"/>
        <w:rPr>
          <w:rFonts w:ascii="Palatino Linotype" w:eastAsia="Calibri" w:hAnsi="Palatino Linotype" w:cs="Arial"/>
          <w:color w:val="000000" w:themeColor="text1"/>
          <w:sz w:val="22"/>
          <w:szCs w:val="22"/>
          <w:lang w:val="es-ES"/>
        </w:rPr>
      </w:pPr>
      <w:bookmarkStart w:id="68" w:name="_Toc536458523"/>
      <w:bookmarkStart w:id="69" w:name="_Toc536458680"/>
      <w:bookmarkStart w:id="70" w:name="_Toc536458709"/>
      <w:r w:rsidRPr="00A94BEC">
        <w:rPr>
          <w:rStyle w:val="Ttulo2Car"/>
          <w:rFonts w:ascii="Palatino Linotype" w:hAnsi="Palatino Linotype"/>
          <w:b/>
          <w:color w:val="000000" w:themeColor="text1"/>
          <w:sz w:val="22"/>
          <w:szCs w:val="22"/>
          <w:lang w:val="es-ES"/>
        </w:rPr>
        <w:t>Razones o Motivos de inconformidad:</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94BEC">
        <w:rPr>
          <w:rFonts w:ascii="Palatino Linotype" w:hAnsi="Palatino Linotype"/>
          <w:color w:val="000000" w:themeColor="text1"/>
          <w:sz w:val="22"/>
          <w:szCs w:val="22"/>
        </w:rPr>
        <w:t xml:space="preserve"> </w:t>
      </w:r>
      <w:r w:rsidRPr="00A94BEC">
        <w:rPr>
          <w:rFonts w:ascii="Palatino Linotype" w:hAnsi="Palatino Linotype"/>
          <w:i/>
          <w:color w:val="000000" w:themeColor="text1"/>
          <w:sz w:val="22"/>
          <w:szCs w:val="22"/>
        </w:rPr>
        <w:t xml:space="preserve">“Están poniendo muchas trabas para dar la información de la carpeta de investigación de mis familiares, mande primer hoja del archivo que estoy solicitando y como parte ofendida pido me entreguen la carpeta mediante copia simple, solo están poniendo pretextos para no trabajar. Como persona que me involucra en el asunto como parte ofendida, y acreditando la personalidad solicito me entreguen la información, ahora ya se había solicitado la información a nombre de mi sobrino </w:t>
      </w:r>
      <w:r w:rsidR="00324E8A" w:rsidRPr="00324E8A">
        <w:rPr>
          <w:rFonts w:ascii="Palatino Linotype" w:hAnsi="Palatino Linotype"/>
          <w:i/>
          <w:color w:val="000000" w:themeColor="text1"/>
          <w:sz w:val="22"/>
          <w:szCs w:val="22"/>
          <w:highlight w:val="black"/>
        </w:rPr>
        <w:t>XXXXXXXXXXX</w:t>
      </w:r>
      <w:r w:rsidRPr="00A94BEC">
        <w:rPr>
          <w:rFonts w:ascii="Palatino Linotype" w:hAnsi="Palatino Linotype"/>
          <w:i/>
          <w:color w:val="000000" w:themeColor="text1"/>
          <w:sz w:val="22"/>
          <w:szCs w:val="22"/>
        </w:rPr>
        <w:t xml:space="preserve"> y de la misma manera el sujeto obligado evade.” </w:t>
      </w:r>
      <w:r w:rsidRPr="00A94BEC">
        <w:rPr>
          <w:rFonts w:ascii="Palatino Linotype" w:hAnsi="Palatino Linotype"/>
          <w:color w:val="000000" w:themeColor="text1"/>
          <w:sz w:val="22"/>
          <w:szCs w:val="22"/>
        </w:rPr>
        <w:t>(Sic).</w:t>
      </w:r>
    </w:p>
    <w:p w:rsidR="007C5AD9" w:rsidRDefault="007C5AD9" w:rsidP="007C5AD9">
      <w:pPr>
        <w:pStyle w:val="Prrafodelista"/>
        <w:rPr>
          <w:rFonts w:ascii="Palatino Linotype" w:eastAsia="Calibri" w:hAnsi="Palatino Linotype" w:cs="Arial"/>
          <w:color w:val="000000" w:themeColor="text1"/>
          <w:sz w:val="22"/>
          <w:szCs w:val="22"/>
          <w:lang w:val="es-ES"/>
        </w:rPr>
      </w:pPr>
    </w:p>
    <w:p w:rsidR="00D767CC" w:rsidRPr="007C5AD9" w:rsidRDefault="00D767CC" w:rsidP="007C5AD9">
      <w:pPr>
        <w:pStyle w:val="Prrafodelista"/>
        <w:rPr>
          <w:rFonts w:ascii="Palatino Linotype" w:eastAsia="Calibri" w:hAnsi="Palatino Linotype" w:cs="Arial"/>
          <w:color w:val="000000" w:themeColor="text1"/>
          <w:sz w:val="22"/>
          <w:szCs w:val="22"/>
          <w:lang w:val="es-ES"/>
        </w:rPr>
      </w:pPr>
    </w:p>
    <w:p w:rsidR="00864D58" w:rsidRDefault="004A732D" w:rsidP="004A732D">
      <w:pPr>
        <w:pStyle w:val="Ttulo1"/>
      </w:pPr>
      <w:bookmarkStart w:id="71" w:name="_Toc536458710"/>
      <w:r>
        <w:t>De la resolución</w:t>
      </w:r>
      <w:r w:rsidR="00864D58" w:rsidRPr="004F719D">
        <w:t>.</w:t>
      </w:r>
      <w:bookmarkEnd w:id="4"/>
      <w:bookmarkEnd w:id="5"/>
      <w:bookmarkEnd w:id="71"/>
    </w:p>
    <w:p w:rsidR="004F719D" w:rsidRDefault="004F719D" w:rsidP="004F719D"/>
    <w:p w:rsidR="00D767CC" w:rsidRPr="00D767CC" w:rsidRDefault="00D767CC" w:rsidP="00D767CC">
      <w:pPr>
        <w:pStyle w:val="Ttulo1"/>
        <w:numPr>
          <w:ilvl w:val="0"/>
          <w:numId w:val="49"/>
        </w:numPr>
      </w:pPr>
      <w:bookmarkStart w:id="72" w:name="_Toc536458711"/>
      <w:r w:rsidRPr="00D767CC">
        <w:t xml:space="preserve">Proyecto de resolución </w:t>
      </w:r>
      <w:r>
        <w:t>primario</w:t>
      </w:r>
      <w:bookmarkEnd w:id="72"/>
    </w:p>
    <w:p w:rsidR="00D767CC" w:rsidRPr="004F719D" w:rsidRDefault="00D767CC" w:rsidP="00D767CC">
      <w:pPr>
        <w:pStyle w:val="Prrafodelista"/>
        <w:ind w:left="1080"/>
      </w:pPr>
    </w:p>
    <w:p w:rsidR="000C0503" w:rsidRDefault="00956C66" w:rsidP="00956C6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cs="Arial"/>
        </w:rPr>
        <w:t>Primeramente, i</w:t>
      </w:r>
      <w:r w:rsidR="004A732D" w:rsidRPr="00956C66">
        <w:rPr>
          <w:rFonts w:ascii="Palatino Linotype" w:hAnsi="Palatino Linotype" w:cs="Arial"/>
        </w:rPr>
        <w:t>mportante</w:t>
      </w:r>
      <w:r w:rsidR="004A732D">
        <w:rPr>
          <w:rFonts w:ascii="Palatino Linotype" w:hAnsi="Palatino Linotype"/>
        </w:rPr>
        <w:t xml:space="preserve"> hacer mención que el recurso de revisión </w:t>
      </w:r>
      <w:r>
        <w:rPr>
          <w:rFonts w:ascii="Palatino Linotype" w:hAnsi="Palatino Linotype"/>
        </w:rPr>
        <w:t>que nos ocupa</w:t>
      </w:r>
      <w:r w:rsidR="004A732D">
        <w:rPr>
          <w:rFonts w:ascii="Palatino Linotype" w:hAnsi="Palatino Linotype"/>
        </w:rPr>
        <w:t xml:space="preserve">, fue turnado originalmente a quien suscribe para </w:t>
      </w:r>
      <w:r>
        <w:rPr>
          <w:rFonts w:ascii="Palatino Linotype" w:hAnsi="Palatino Linotype"/>
        </w:rPr>
        <w:t>su sustanciación y su</w:t>
      </w:r>
      <w:r w:rsidR="004A732D">
        <w:rPr>
          <w:rFonts w:ascii="Palatino Linotype" w:hAnsi="Palatino Linotype"/>
        </w:rPr>
        <w:t xml:space="preserve"> posterior </w:t>
      </w:r>
      <w:r w:rsidR="0022496A">
        <w:rPr>
          <w:rFonts w:ascii="Palatino Linotype" w:hAnsi="Palatino Linotype"/>
        </w:rPr>
        <w:t>resolución. Fue así, que en la Cuadragésima Sesión Ordinaria de fecha</w:t>
      </w:r>
      <w:r w:rsidR="000C0503">
        <w:rPr>
          <w:rFonts w:ascii="Palatino Linotype" w:hAnsi="Palatino Linotype"/>
        </w:rPr>
        <w:t xml:space="preserve"> </w:t>
      </w:r>
      <w:r w:rsidR="000C0503">
        <w:rPr>
          <w:rFonts w:ascii="Palatino Linotype" w:hAnsi="Palatino Linotype"/>
        </w:rPr>
        <w:lastRenderedPageBreak/>
        <w:t xml:space="preserve">treinta y uno (31) de octubre del año 2018, </w:t>
      </w:r>
      <w:r w:rsidR="00B30F54">
        <w:rPr>
          <w:rFonts w:ascii="Palatino Linotype" w:hAnsi="Palatino Linotype"/>
        </w:rPr>
        <w:t>presente el proyecto</w:t>
      </w:r>
      <w:r>
        <w:rPr>
          <w:rFonts w:ascii="Palatino Linotype" w:hAnsi="Palatino Linotype"/>
        </w:rPr>
        <w:t xml:space="preserve"> de resolución, en el</w:t>
      </w:r>
      <w:r w:rsidR="000C0503">
        <w:rPr>
          <w:rFonts w:ascii="Palatino Linotype" w:hAnsi="Palatino Linotype"/>
        </w:rPr>
        <w:t xml:space="preserve"> que determine revocar la respuesta del Sujeto Obligado y</w:t>
      </w:r>
      <w:r w:rsidRPr="00956C66">
        <w:t xml:space="preserve"> </w:t>
      </w:r>
      <w:r>
        <w:rPr>
          <w:rFonts w:ascii="Palatino Linotype" w:hAnsi="Palatino Linotype"/>
        </w:rPr>
        <w:t>ordenar la</w:t>
      </w:r>
      <w:r w:rsidRPr="00956C66">
        <w:rPr>
          <w:rFonts w:ascii="Palatino Linotype" w:hAnsi="Palatino Linotype"/>
        </w:rPr>
        <w:t xml:space="preserve"> entrega vía Sistema de Acceso a la Información Mexiquense (SAIMEX), en versión pública, previa acreditación de la identidad de la particular, </w:t>
      </w:r>
      <w:r>
        <w:rPr>
          <w:rFonts w:ascii="Palatino Linotype" w:hAnsi="Palatino Linotype"/>
        </w:rPr>
        <w:t>la c</w:t>
      </w:r>
      <w:r w:rsidRPr="00956C66">
        <w:rPr>
          <w:rFonts w:ascii="Palatino Linotype" w:hAnsi="Palatino Linotype"/>
        </w:rPr>
        <w:t>arpeta de investigación número CHA/FHO/UHI/041/108461/18/05.</w:t>
      </w:r>
    </w:p>
    <w:p w:rsidR="00956C66" w:rsidRDefault="00956C66" w:rsidP="00956C6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rPr>
      </w:pPr>
    </w:p>
    <w:p w:rsidR="00BD1F52" w:rsidRPr="00EC2C5F" w:rsidRDefault="00BD1F52" w:rsidP="00481F8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EC2C5F">
        <w:rPr>
          <w:rFonts w:ascii="Palatino Linotype" w:hAnsi="Palatino Linotype" w:cs="Arial"/>
        </w:rPr>
        <w:t>Bajo</w:t>
      </w:r>
      <w:r w:rsidRPr="00EC2C5F">
        <w:rPr>
          <w:rFonts w:ascii="Palatino Linotype" w:hAnsi="Palatino Linotype"/>
        </w:rPr>
        <w:t xml:space="preserve"> los argumentos</w:t>
      </w:r>
      <w:r w:rsidR="00EC2C5F">
        <w:rPr>
          <w:rFonts w:ascii="Palatino Linotype" w:hAnsi="Palatino Linotype"/>
        </w:rPr>
        <w:t>,</w:t>
      </w:r>
      <w:r w:rsidRPr="00EC2C5F">
        <w:rPr>
          <w:rFonts w:ascii="Palatino Linotype" w:hAnsi="Palatino Linotype"/>
        </w:rPr>
        <w:t xml:space="preserve"> de que dentro de los derechos de las partes en un procedimiento judicial se encuentra el de ser informado, cuando así lo solicite, del desarrollo del mismo ya sea por su asesor jurídico, el Juez o el Tribunal que tenga conocimiento del mismo, así como a tener acceso a las actuaciones pr</w:t>
      </w:r>
      <w:r w:rsidR="00EC2C5F">
        <w:rPr>
          <w:rFonts w:ascii="Palatino Linotype" w:hAnsi="Palatino Linotype"/>
        </w:rPr>
        <w:t>ocesales</w:t>
      </w:r>
      <w:r w:rsidRPr="00EC2C5F">
        <w:rPr>
          <w:rFonts w:ascii="Palatino Linotype" w:hAnsi="Palatino Linotype"/>
        </w:rPr>
        <w:t xml:space="preserve"> y a obtener copia gratuita de éstas, pero también al resguardo de su identidad y demás datos personales.</w:t>
      </w:r>
    </w:p>
    <w:p w:rsidR="00BD1F52" w:rsidRPr="00BD1F52" w:rsidRDefault="00BD1F52" w:rsidP="00BD1F52">
      <w:pPr>
        <w:pStyle w:val="Prrafodelista"/>
        <w:rPr>
          <w:rFonts w:ascii="Palatino Linotype" w:hAnsi="Palatino Linotype"/>
        </w:rPr>
      </w:pPr>
    </w:p>
    <w:p w:rsidR="00BD1F52" w:rsidRPr="00BD1F52" w:rsidRDefault="00BD1F52" w:rsidP="00BD1F5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BD1F52">
        <w:rPr>
          <w:rFonts w:ascii="Palatino Linotype" w:hAnsi="Palatino Linotype"/>
        </w:rPr>
        <w:t>Por lo que exclusivamente las partes, así como sus asesores jurídicos o defensores, dentro de un procedimiento judicial tienen la facultad de acceder al expediente en el cual se integran las actuaciones del mismo, pudiendo incluso pedir copia delas mismas.</w:t>
      </w:r>
    </w:p>
    <w:p w:rsidR="00BD1F52" w:rsidRPr="00BD1F52" w:rsidRDefault="00BD1F52" w:rsidP="00BD1F5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rPr>
      </w:pPr>
    </w:p>
    <w:p w:rsidR="00BD1F52" w:rsidRPr="00BD1F52" w:rsidRDefault="00BD1F52" w:rsidP="00BD1F5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BD1F52">
        <w:rPr>
          <w:rFonts w:ascii="Palatino Linotype" w:hAnsi="Palatino Linotype"/>
        </w:rPr>
        <w:t>Por otro lado, se determinó que si bien era una solicitud que versaba sobre acceso a datos personales</w:t>
      </w:r>
      <w:r>
        <w:rPr>
          <w:rFonts w:ascii="Palatino Linotype" w:hAnsi="Palatino Linotype"/>
        </w:rPr>
        <w:t>,</w:t>
      </w:r>
      <w:r w:rsidRPr="00BD1F52">
        <w:rPr>
          <w:rFonts w:ascii="Palatino Linotype" w:hAnsi="Palatino Linotype"/>
        </w:rPr>
        <w:t xml:space="preserve"> los particulares </w:t>
      </w:r>
      <w:r>
        <w:rPr>
          <w:rFonts w:ascii="Palatino Linotype" w:hAnsi="Palatino Linotype"/>
        </w:rPr>
        <w:t xml:space="preserve">eventualmente </w:t>
      </w:r>
      <w:r w:rsidRPr="00BD1F52">
        <w:rPr>
          <w:rFonts w:ascii="Palatino Linotype" w:hAnsi="Palatino Linotype"/>
        </w:rPr>
        <w:t xml:space="preserve">no son expertos en la materia </w:t>
      </w:r>
      <w:r>
        <w:rPr>
          <w:rFonts w:ascii="Palatino Linotype" w:hAnsi="Palatino Linotype"/>
        </w:rPr>
        <w:t>y pueden desconocer</w:t>
      </w:r>
      <w:r w:rsidRPr="00BD1F52">
        <w:rPr>
          <w:rFonts w:ascii="Palatino Linotype" w:hAnsi="Palatino Linotype"/>
        </w:rPr>
        <w:t xml:space="preserve"> la vía para poder tener acceso a documentos en los que constan sus datos personales o el trámite procedente a realizarse para obtener una copia de su expediente de forma íntegra, por esa razón a fin de tutelar las </w:t>
      </w:r>
      <w:r w:rsidRPr="00BD1F52">
        <w:rPr>
          <w:rFonts w:ascii="Palatino Linotype" w:hAnsi="Palatino Linotype"/>
        </w:rPr>
        <w:lastRenderedPageBreak/>
        <w:t xml:space="preserve">garantías de eficacia, prontitud y expeditéz que mandata la Constitución Política de los Estados Unidos Mexicanos, </w:t>
      </w:r>
      <w:r>
        <w:rPr>
          <w:rFonts w:ascii="Palatino Linotype" w:hAnsi="Palatino Linotype"/>
        </w:rPr>
        <w:t>la</w:t>
      </w:r>
      <w:r w:rsidRPr="00BD1F52">
        <w:rPr>
          <w:rFonts w:ascii="Palatino Linotype" w:hAnsi="Palatino Linotype"/>
        </w:rPr>
        <w:t xml:space="preserve"> Ponencia </w:t>
      </w:r>
      <w:r>
        <w:rPr>
          <w:rFonts w:ascii="Palatino Linotype" w:hAnsi="Palatino Linotype"/>
        </w:rPr>
        <w:t>a mi cargo</w:t>
      </w:r>
      <w:r w:rsidRPr="00BD1F52">
        <w:rPr>
          <w:rFonts w:ascii="Palatino Linotype" w:hAnsi="Palatino Linotype"/>
        </w:rPr>
        <w:t xml:space="preserve"> estim</w:t>
      </w:r>
      <w:r>
        <w:rPr>
          <w:rFonts w:ascii="Palatino Linotype" w:hAnsi="Palatino Linotype"/>
        </w:rPr>
        <w:t>ó</w:t>
      </w:r>
      <w:r w:rsidRPr="00BD1F52">
        <w:rPr>
          <w:rFonts w:ascii="Palatino Linotype" w:hAnsi="Palatino Linotype"/>
        </w:rPr>
        <w:t xml:space="preserve"> pertinente y necesario reconducir la vía hacia un derecho distinto, igualmente tutelado por este Órgano Garante.</w:t>
      </w:r>
    </w:p>
    <w:p w:rsidR="00BD1F52" w:rsidRDefault="00BD1F52" w:rsidP="00BD1F5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rPr>
      </w:pPr>
    </w:p>
    <w:p w:rsidR="00BD1F52" w:rsidRPr="00BD1F52" w:rsidRDefault="00BD1F52" w:rsidP="00BD1F52">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Estableciendo en</w:t>
      </w:r>
      <w:r w:rsidRPr="00BD1F52">
        <w:rPr>
          <w:rFonts w:ascii="Palatino Linotype" w:hAnsi="Palatino Linotype"/>
        </w:rPr>
        <w:t xml:space="preserve"> términos generales, </w:t>
      </w:r>
      <w:r>
        <w:rPr>
          <w:rFonts w:ascii="Palatino Linotype" w:hAnsi="Palatino Linotype"/>
        </w:rPr>
        <w:t xml:space="preserve">que </w:t>
      </w:r>
      <w:r w:rsidRPr="00BD1F52">
        <w:rPr>
          <w:rFonts w:ascii="Palatino Linotype" w:hAnsi="Palatino Linotype"/>
        </w:rPr>
        <w:t xml:space="preserve">los titulares de los datos personales, a través del ejercicio de los derechos </w:t>
      </w:r>
      <w:r>
        <w:rPr>
          <w:rFonts w:ascii="Palatino Linotype" w:hAnsi="Palatino Linotype"/>
        </w:rPr>
        <w:t>de Acceso, Rectificación, Cancelación y Oposición (</w:t>
      </w:r>
      <w:r w:rsidRPr="00BD1F52">
        <w:rPr>
          <w:rFonts w:ascii="Palatino Linotype" w:hAnsi="Palatino Linotype"/>
        </w:rPr>
        <w:t>ARCO</w:t>
      </w:r>
      <w:r>
        <w:rPr>
          <w:rFonts w:ascii="Palatino Linotype" w:hAnsi="Palatino Linotype"/>
        </w:rPr>
        <w:t>)</w:t>
      </w:r>
      <w:r w:rsidRPr="00BD1F52">
        <w:rPr>
          <w:rFonts w:ascii="Palatino Linotype" w:hAnsi="Palatino Linotype"/>
        </w:rPr>
        <w:t>, tienen el control sobre su información personal que se encuentra en poder de los Sujetos Obligados.</w:t>
      </w:r>
    </w:p>
    <w:p w:rsidR="00BD1F52" w:rsidRPr="00BD1F52" w:rsidRDefault="00BD1F52" w:rsidP="00BD1F5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rPr>
      </w:pPr>
    </w:p>
    <w:p w:rsidR="00BD1F52" w:rsidRDefault="00BD1F52" w:rsidP="002763B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BD1F52">
        <w:rPr>
          <w:rFonts w:ascii="Palatino Linotype" w:hAnsi="Palatino Linotype"/>
        </w:rPr>
        <w:t xml:space="preserve">Bajo esa tesitura, </w:t>
      </w:r>
      <w:r w:rsidR="00EC2C5F">
        <w:rPr>
          <w:rFonts w:ascii="Palatino Linotype" w:hAnsi="Palatino Linotype"/>
        </w:rPr>
        <w:t xml:space="preserve">se estimó que </w:t>
      </w:r>
      <w:r w:rsidRPr="00BD1F52">
        <w:rPr>
          <w:rFonts w:ascii="Palatino Linotype" w:hAnsi="Palatino Linotype"/>
        </w:rPr>
        <w:t xml:space="preserve">dicho acceso procederá una vez que la recurrente acredite su personalidad, como titular de la información, o bien, la representación legal para tener acceso a ella. </w:t>
      </w:r>
      <w:r>
        <w:rPr>
          <w:rFonts w:ascii="Palatino Linotype" w:hAnsi="Palatino Linotype"/>
        </w:rPr>
        <w:t>Dado</w:t>
      </w:r>
      <w:r w:rsidRPr="00BD1F52">
        <w:rPr>
          <w:rFonts w:ascii="Palatino Linotype" w:hAnsi="Palatino Linotype"/>
        </w:rPr>
        <w:t>,</w:t>
      </w:r>
      <w:r>
        <w:rPr>
          <w:rFonts w:ascii="Palatino Linotype" w:hAnsi="Palatino Linotype"/>
        </w:rPr>
        <w:t xml:space="preserve"> que</w:t>
      </w:r>
      <w:r w:rsidRPr="00BD1F52">
        <w:rPr>
          <w:rFonts w:ascii="Palatino Linotype" w:hAnsi="Palatino Linotype"/>
        </w:rPr>
        <w:t xml:space="preserve"> el simple pronunciamiento que realiz</w:t>
      </w:r>
      <w:r>
        <w:rPr>
          <w:rFonts w:ascii="Palatino Linotype" w:hAnsi="Palatino Linotype"/>
        </w:rPr>
        <w:t>o la particular</w:t>
      </w:r>
      <w:r w:rsidRPr="00BD1F52">
        <w:rPr>
          <w:rFonts w:ascii="Palatino Linotype" w:hAnsi="Palatino Linotype"/>
        </w:rPr>
        <w:t xml:space="preserve"> sobre que es parte </w:t>
      </w:r>
      <w:r>
        <w:rPr>
          <w:rFonts w:ascii="Palatino Linotype" w:hAnsi="Palatino Linotype"/>
        </w:rPr>
        <w:t xml:space="preserve">afectada, </w:t>
      </w:r>
      <w:r w:rsidRPr="00BD1F52">
        <w:rPr>
          <w:rFonts w:ascii="Palatino Linotype" w:hAnsi="Palatino Linotype"/>
        </w:rPr>
        <w:t>no basta para sustentar la titularidad del derecho, ya que para el ejercicio de los derechos ARCO, es necesario acreditar la identidad.</w:t>
      </w:r>
    </w:p>
    <w:p w:rsidR="00B30F54" w:rsidRPr="00B30F54" w:rsidRDefault="00B30F54" w:rsidP="00B30F54">
      <w:pPr>
        <w:pStyle w:val="Prrafodelista"/>
        <w:rPr>
          <w:rFonts w:ascii="Palatino Linotype" w:hAnsi="Palatino Linotype"/>
        </w:rPr>
      </w:pPr>
    </w:p>
    <w:p w:rsidR="00B30F54" w:rsidRPr="00EC2C5F" w:rsidRDefault="00B30F54" w:rsidP="00B30F54">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b/>
          <w:color w:val="000000" w:themeColor="text1"/>
        </w:rPr>
      </w:pPr>
      <w:r>
        <w:rPr>
          <w:rFonts w:ascii="Palatino Linotype" w:hAnsi="Palatino Linotype"/>
        </w:rPr>
        <w:t xml:space="preserve">Luego entonces, es que se expuso que la particular </w:t>
      </w:r>
      <w:r w:rsidRPr="00D122F9">
        <w:rPr>
          <w:rFonts w:ascii="Palatino Linotype" w:eastAsia="Times New Roman" w:hAnsi="Palatino Linotype" w:cs="Arial"/>
        </w:rPr>
        <w:t>deber</w:t>
      </w:r>
      <w:r>
        <w:rPr>
          <w:rFonts w:ascii="Palatino Linotype" w:eastAsia="Times New Roman" w:hAnsi="Palatino Linotype" w:cs="Arial"/>
        </w:rPr>
        <w:t>ía</w:t>
      </w:r>
      <w:r w:rsidRPr="00D122F9">
        <w:rPr>
          <w:rFonts w:ascii="Palatino Linotype" w:eastAsia="Times New Roman" w:hAnsi="Palatino Linotype" w:cs="Arial"/>
        </w:rPr>
        <w:t xml:space="preserve"> acreditar la personalidad para tener acceso a la información que</w:t>
      </w:r>
      <w:r>
        <w:rPr>
          <w:rFonts w:ascii="Palatino Linotype" w:eastAsia="Times New Roman" w:hAnsi="Palatino Linotype" w:cs="Arial"/>
        </w:rPr>
        <w:t xml:space="preserve"> a la particular concierne </w:t>
      </w:r>
      <w:r w:rsidRPr="00D122F9">
        <w:rPr>
          <w:rFonts w:ascii="Palatino Linotype" w:eastAsia="Times New Roman" w:hAnsi="Palatino Linotype" w:cs="Arial"/>
        </w:rPr>
        <w:t>respecto de</w:t>
      </w:r>
      <w:r>
        <w:rPr>
          <w:rFonts w:ascii="Palatino Linotype" w:eastAsia="Times New Roman" w:hAnsi="Palatino Linotype" w:cs="Arial"/>
        </w:rPr>
        <w:t xml:space="preserve"> la carpeta de investigación</w:t>
      </w:r>
      <w:r w:rsidRPr="00D122F9">
        <w:rPr>
          <w:rFonts w:ascii="Palatino Linotype" w:eastAsia="Times New Roman" w:hAnsi="Palatino Linotype" w:cs="Arial"/>
        </w:rPr>
        <w:t xml:space="preserve"> </w:t>
      </w:r>
      <w:r>
        <w:rPr>
          <w:rFonts w:ascii="Palatino Linotype" w:eastAsia="Times New Roman" w:hAnsi="Palatino Linotype" w:cs="Arial"/>
        </w:rPr>
        <w:t>solicitada</w:t>
      </w:r>
      <w:r w:rsidRPr="00D122F9">
        <w:rPr>
          <w:rFonts w:ascii="Palatino Linotype" w:eastAsia="Times New Roman" w:hAnsi="Palatino Linotype" w:cs="Arial"/>
        </w:rPr>
        <w:t xml:space="preserve"> </w:t>
      </w:r>
      <w:r w:rsidRPr="00B30F54">
        <w:rPr>
          <w:rFonts w:ascii="Palatino Linotype" w:eastAsia="Times New Roman" w:hAnsi="Palatino Linotype" w:cs="Arial"/>
        </w:rPr>
        <w:t>previa elaboración de la versión pública para no afectar los derechos y libertades de terceros</w:t>
      </w:r>
      <w:r>
        <w:rPr>
          <w:rFonts w:ascii="Palatino Linotype" w:eastAsia="Times New Roman" w:hAnsi="Palatino Linotype" w:cs="Arial"/>
        </w:rPr>
        <w:t>, de ser procedente. No obstante, el proyecto de resolución, no fue aprobado</w:t>
      </w:r>
      <w:r w:rsidR="004D7F65">
        <w:rPr>
          <w:rFonts w:ascii="Palatino Linotype" w:eastAsia="Times New Roman" w:hAnsi="Palatino Linotype" w:cs="Arial"/>
        </w:rPr>
        <w:t xml:space="preserve"> y por tanto se returnó</w:t>
      </w:r>
      <w:r>
        <w:rPr>
          <w:rFonts w:ascii="Palatino Linotype" w:eastAsia="Times New Roman" w:hAnsi="Palatino Linotype" w:cs="Arial"/>
        </w:rPr>
        <w:t xml:space="preserve"> a la Ponencia </w:t>
      </w:r>
      <w:r w:rsidR="00EC2C5F">
        <w:rPr>
          <w:rFonts w:ascii="Palatino Linotype" w:eastAsia="Times New Roman" w:hAnsi="Palatino Linotype" w:cs="Arial"/>
        </w:rPr>
        <w:t>que ahora ha tenido a bien resolver.</w:t>
      </w:r>
    </w:p>
    <w:p w:rsidR="00D767CC" w:rsidRPr="00D767CC" w:rsidRDefault="00D767CC" w:rsidP="00D767CC">
      <w:pPr>
        <w:pStyle w:val="Ttulo1"/>
        <w:numPr>
          <w:ilvl w:val="0"/>
          <w:numId w:val="49"/>
        </w:numPr>
      </w:pPr>
      <w:bookmarkStart w:id="73" w:name="_Toc536458712"/>
      <w:r>
        <w:lastRenderedPageBreak/>
        <w:t>Resolución</w:t>
      </w:r>
      <w:r w:rsidRPr="00D767CC">
        <w:t xml:space="preserve"> </w:t>
      </w:r>
      <w:r>
        <w:t>aprobada</w:t>
      </w:r>
      <w:bookmarkEnd w:id="73"/>
    </w:p>
    <w:p w:rsidR="00EC2C5F" w:rsidRPr="00B30F54" w:rsidRDefault="00EC2C5F" w:rsidP="00EC2C5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b/>
          <w:color w:val="000000" w:themeColor="text1"/>
        </w:rPr>
      </w:pPr>
    </w:p>
    <w:p w:rsidR="00B30F54" w:rsidRPr="003240E2" w:rsidRDefault="004D7F65" w:rsidP="00083EE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4D7F65">
        <w:rPr>
          <w:rFonts w:ascii="Palatino Linotype" w:hAnsi="Palatino Linotype"/>
          <w:color w:val="000000" w:themeColor="text1"/>
        </w:rPr>
        <w:t xml:space="preserve">Ahora bien, en la resolución que </w:t>
      </w:r>
      <w:r w:rsidR="00EC2C5F">
        <w:rPr>
          <w:rFonts w:ascii="Palatino Linotype" w:hAnsi="Palatino Linotype"/>
          <w:color w:val="000000" w:themeColor="text1"/>
        </w:rPr>
        <w:t>aprobó</w:t>
      </w:r>
      <w:r w:rsidRPr="004D7F65">
        <w:rPr>
          <w:rFonts w:ascii="Palatino Linotype" w:hAnsi="Palatino Linotype"/>
          <w:color w:val="000000" w:themeColor="text1"/>
        </w:rPr>
        <w:t xml:space="preserve"> la mayoría del Pleno, se </w:t>
      </w:r>
      <w:r>
        <w:rPr>
          <w:rFonts w:ascii="Palatino Linotype" w:hAnsi="Palatino Linotype"/>
          <w:color w:val="000000" w:themeColor="text1"/>
        </w:rPr>
        <w:t xml:space="preserve">desprende que </w:t>
      </w:r>
      <w:r w:rsidR="00EF3407">
        <w:rPr>
          <w:rFonts w:ascii="Palatino Linotype" w:hAnsi="Palatino Linotype"/>
          <w:color w:val="000000" w:themeColor="text1"/>
        </w:rPr>
        <w:t>fueron</w:t>
      </w:r>
      <w:r>
        <w:rPr>
          <w:rFonts w:ascii="Palatino Linotype" w:hAnsi="Palatino Linotype"/>
          <w:color w:val="000000" w:themeColor="text1"/>
        </w:rPr>
        <w:t xml:space="preserve"> invocadas dos (02) tesis a saber</w:t>
      </w:r>
      <w:r w:rsidR="003240E2">
        <w:rPr>
          <w:rFonts w:ascii="Palatino Linotype" w:hAnsi="Palatino Linotype"/>
          <w:color w:val="000000" w:themeColor="text1"/>
        </w:rPr>
        <w:t>:</w:t>
      </w:r>
    </w:p>
    <w:p w:rsidR="003240E2" w:rsidRDefault="003240E2" w:rsidP="003240E2">
      <w:pPr>
        <w:spacing w:before="240" w:after="240"/>
        <w:ind w:left="567" w:right="474"/>
        <w:jc w:val="both"/>
        <w:rPr>
          <w:rFonts w:ascii="Palatino Linotype" w:hAnsi="Palatino Linotype"/>
          <w:i/>
        </w:rPr>
      </w:pPr>
      <w:r>
        <w:rPr>
          <w:rFonts w:ascii="Palatino Linotype" w:hAnsi="Palatino Linotype"/>
          <w:i/>
        </w:rPr>
        <w:t>“</w:t>
      </w:r>
      <w:r w:rsidRPr="000B7EDC">
        <w:rPr>
          <w:rFonts w:ascii="Palatino Linotype" w:hAnsi="Palatino Linotype"/>
          <w:i/>
        </w:rPr>
        <w:t xml:space="preserve">MINISTERIO PUBLICO, NEGATIVA DEL, A EXPEDIR COPIAS DE LA AVERIGUACION PREVIA. NO ES VIOLATORIA DE LA FRACCION VII DEL ARTICULO 20 CONSTITUCIONAL. </w:t>
      </w:r>
      <w:r w:rsidRPr="000B7EDC">
        <w:rPr>
          <w:rFonts w:ascii="Palatino Linotype" w:hAnsi="Palatino Linotype"/>
          <w:b/>
          <w:i/>
        </w:rPr>
        <w:t xml:space="preserve">La negativa del Agente del Ministerio Público a expedir copias de la averiguación previa, no es violatoria de la garantía constitucional contenida en la fracción VII del artículo 20 de la Carta Magna, en virtud de que la averiguación previa constituye en términos generales, un estadio indagatorio en el cual aún no existe un procesado, pues en esencia, </w:t>
      </w:r>
      <w:r w:rsidRPr="000B7EDC">
        <w:rPr>
          <w:rFonts w:ascii="Palatino Linotype" w:hAnsi="Palatino Linotype"/>
          <w:b/>
          <w:i/>
          <w:u w:val="single"/>
        </w:rPr>
        <w:t>lo que representa es la etapa de investigación en la que el fiscal recaba todos aquellos elementos de prueba tendientes a demostrar la existencia de hechos delictuosos</w:t>
      </w:r>
      <w:r w:rsidRPr="000B7EDC">
        <w:rPr>
          <w:rFonts w:ascii="Palatino Linotype" w:hAnsi="Palatino Linotype"/>
          <w:i/>
        </w:rPr>
        <w:t xml:space="preserve">, lo que difiere diametralmente con el concepto de proceso, porque para que éste se configure es necesario que exista una acusación por parte del representante social y un juicio instaurado ante la autoridad competente. </w:t>
      </w:r>
      <w:r w:rsidRPr="000B7EDC">
        <w:rPr>
          <w:rFonts w:ascii="Palatino Linotype" w:hAnsi="Palatino Linotype"/>
          <w:b/>
          <w:i/>
          <w:u w:val="single"/>
        </w:rPr>
        <w:t>Se concluye así, porque la garantía que establece la fracción VII, del artículo 20 constitucional, es clara y no da lugar a interpretaciones diversas, pues se refiere al acusado y no a los simples indiciados</w:t>
      </w:r>
      <w:r w:rsidRPr="000B7EDC">
        <w:rPr>
          <w:rFonts w:ascii="Palatino Linotype" w:hAnsi="Palatino Linotype"/>
          <w:i/>
        </w:rPr>
        <w:t>.</w:t>
      </w:r>
    </w:p>
    <w:p w:rsidR="003240E2" w:rsidRPr="00F33BB1" w:rsidRDefault="003240E2" w:rsidP="003240E2">
      <w:pPr>
        <w:spacing w:before="240" w:after="240"/>
        <w:ind w:left="567" w:right="474"/>
        <w:jc w:val="both"/>
        <w:rPr>
          <w:rFonts w:ascii="Palatino Linotype" w:hAnsi="Palatino Linotype"/>
          <w:i/>
          <w:sz w:val="22"/>
          <w:szCs w:val="22"/>
        </w:rPr>
      </w:pPr>
      <w:r w:rsidRPr="00F33BB1">
        <w:rPr>
          <w:rFonts w:ascii="Palatino Linotype" w:hAnsi="Palatino Linotype"/>
          <w:i/>
          <w:sz w:val="22"/>
          <w:szCs w:val="22"/>
        </w:rPr>
        <w:t xml:space="preserve">SEGUNDO TRIBUNAL COLEGIADO EN MATERIA ADMINISTRATIVA DEL TERCER CIRCUITO. </w:t>
      </w:r>
    </w:p>
    <w:p w:rsidR="003240E2" w:rsidRPr="00F33BB1" w:rsidRDefault="003240E2" w:rsidP="003240E2">
      <w:pPr>
        <w:spacing w:before="240" w:after="240"/>
        <w:ind w:left="567" w:right="474"/>
        <w:jc w:val="both"/>
        <w:rPr>
          <w:rFonts w:ascii="Palatino Linotype" w:hAnsi="Palatino Linotype"/>
          <w:i/>
          <w:sz w:val="22"/>
          <w:szCs w:val="22"/>
        </w:rPr>
      </w:pPr>
      <w:r w:rsidRPr="00F33BB1">
        <w:rPr>
          <w:rFonts w:ascii="Palatino Linotype" w:hAnsi="Palatino Linotype"/>
          <w:i/>
          <w:sz w:val="22"/>
          <w:szCs w:val="22"/>
        </w:rPr>
        <w:t xml:space="preserve">Amparo en revisión 140/88. Benito Hernández Alvarez.. Unanimidad de votos. Ponente: Filemón Haro Solís. Secretario: Rogelio Alberto Montoya Rodríguez. </w:t>
      </w:r>
    </w:p>
    <w:p w:rsidR="003240E2" w:rsidRDefault="003240E2" w:rsidP="003240E2">
      <w:pPr>
        <w:spacing w:before="240" w:after="240"/>
        <w:ind w:left="567" w:right="474"/>
        <w:jc w:val="both"/>
        <w:rPr>
          <w:rFonts w:ascii="Palatino Linotype" w:hAnsi="Palatino Linotype"/>
          <w:i/>
          <w:sz w:val="22"/>
          <w:szCs w:val="22"/>
        </w:rPr>
      </w:pPr>
      <w:r w:rsidRPr="00F33BB1">
        <w:rPr>
          <w:rFonts w:ascii="Palatino Linotype" w:hAnsi="Palatino Linotype"/>
          <w:i/>
          <w:sz w:val="22"/>
          <w:szCs w:val="22"/>
        </w:rPr>
        <w:t>Nota: Por ejecutoria de fecha 18 de septiembre de 2002, la Primera Sala declaró inexistente la contradicción de tesis 3/2002 en que participó el presente criterio.</w:t>
      </w:r>
      <w:r>
        <w:rPr>
          <w:rFonts w:ascii="Palatino Linotype" w:hAnsi="Palatino Linotype"/>
          <w:i/>
          <w:sz w:val="22"/>
          <w:szCs w:val="22"/>
        </w:rPr>
        <w:t>”(Sic)</w:t>
      </w:r>
    </w:p>
    <w:p w:rsidR="003240E2" w:rsidRDefault="003240E2" w:rsidP="003240E2">
      <w:pPr>
        <w:spacing w:before="240" w:after="240"/>
        <w:ind w:left="567" w:right="474"/>
        <w:jc w:val="both"/>
        <w:rPr>
          <w:rFonts w:ascii="Palatino Linotype" w:eastAsia="Calibri" w:hAnsi="Palatino Linotype" w:cs="Arial"/>
          <w:i/>
          <w:sz w:val="22"/>
          <w:szCs w:val="22"/>
        </w:rPr>
      </w:pPr>
    </w:p>
    <w:p w:rsidR="00C71C2F" w:rsidRPr="00F33BB1" w:rsidRDefault="00C71C2F" w:rsidP="003240E2">
      <w:pPr>
        <w:spacing w:before="240" w:after="240"/>
        <w:ind w:left="567" w:right="474"/>
        <w:jc w:val="both"/>
        <w:rPr>
          <w:rFonts w:ascii="Palatino Linotype" w:eastAsia="Calibri" w:hAnsi="Palatino Linotype" w:cs="Arial"/>
          <w:i/>
          <w:sz w:val="22"/>
          <w:szCs w:val="22"/>
        </w:rPr>
      </w:pPr>
    </w:p>
    <w:p w:rsidR="003240E2" w:rsidRPr="0013733E" w:rsidRDefault="003240E2" w:rsidP="003240E2">
      <w:pPr>
        <w:spacing w:before="240" w:after="240"/>
        <w:ind w:left="567" w:right="474"/>
        <w:jc w:val="both"/>
        <w:rPr>
          <w:rFonts w:ascii="Palatino Linotype" w:hAnsi="Palatino Linotype"/>
          <w:b/>
          <w:i/>
        </w:rPr>
      </w:pPr>
      <w:r>
        <w:rPr>
          <w:rFonts w:ascii="Palatino Linotype" w:hAnsi="Palatino Linotype"/>
          <w:b/>
          <w:i/>
        </w:rPr>
        <w:lastRenderedPageBreak/>
        <w:t>“</w:t>
      </w:r>
      <w:r w:rsidRPr="0013733E">
        <w:rPr>
          <w:rFonts w:ascii="Palatino Linotype" w:hAnsi="Palatino Linotype"/>
          <w:b/>
          <w:i/>
        </w:rPr>
        <w:t>AVERIGUACIÓN PREVIA. EL ACCESO A SUS ACTUACIONES POR LAS PARTES LEGITIMADAS PARA ELLO, NO IMPLICA EL DERECHO A QUE SE LES EXPIDAN COPIAS (INTERPRETACIÓN DEL ARTÍCULO 16 DEL CÓDIGO FEDERAL DE PROCEDIMIENTOS PENALES).</w:t>
      </w:r>
    </w:p>
    <w:p w:rsidR="003240E2" w:rsidRDefault="003240E2" w:rsidP="003240E2">
      <w:pPr>
        <w:spacing w:before="240" w:after="240"/>
        <w:ind w:left="567" w:right="474"/>
        <w:jc w:val="both"/>
        <w:rPr>
          <w:rFonts w:ascii="Palatino Linotype" w:eastAsia="Calibri" w:hAnsi="Palatino Linotype" w:cs="Arial"/>
          <w:i/>
        </w:rPr>
      </w:pPr>
      <w:r w:rsidRPr="00BD10B9">
        <w:rPr>
          <w:rFonts w:ascii="Palatino Linotype" w:hAnsi="Palatino Linotype"/>
          <w:b/>
          <w:i/>
          <w:u w:val="single"/>
        </w:rPr>
        <w:t>La fracción VII del apartado A del artículo 20 de la Constitución Política de los Estados Unidos Mexicanos consagra en beneficio de todo inculpado sujeto a un proceso penal el derecho a una defensa adecuada, lo cual implica que se le faciliten los datos que consten en aquél y que requiera para su defensa</w:t>
      </w:r>
      <w:r w:rsidRPr="0013733E">
        <w:rPr>
          <w:rFonts w:ascii="Palatino Linotype" w:hAnsi="Palatino Linotype"/>
          <w:i/>
        </w:rPr>
        <w:t xml:space="preserve">. Ahora bien, conforme a la reforma publicada en el Diario Oficial de la Federación de 3 de julio de 1996, mediante la cual se adicionó un párrafo cuarto a la fracción X del citado precepto constitucional, las garantías previstas en sus fracciones VII y IX, que en un principio sólo eran aplicables durante la tramitación del proceso penal, también </w:t>
      </w:r>
      <w:r w:rsidRPr="00BD10B9">
        <w:rPr>
          <w:rFonts w:ascii="Palatino Linotype" w:hAnsi="Palatino Linotype"/>
          <w:b/>
          <w:i/>
        </w:rPr>
        <w:t xml:space="preserve">fueron incorporadas a la averiguación previa, aunque limitándose a lo establecido en las leyes secundarias. </w:t>
      </w:r>
      <w:r w:rsidRPr="00BD10B9">
        <w:rPr>
          <w:rFonts w:ascii="Palatino Linotype" w:hAnsi="Palatino Linotype"/>
          <w:b/>
          <w:i/>
          <w:u w:val="single"/>
        </w:rPr>
        <w:t>Por otra parte, el segundo párrafo del artículo 16 del Código Federal de Procedimientos Penales señala que las únicas personas que tendrán acceso a las actuaciones de la averiguación previa serán el inculpado, su defensor y la víctima u ofendido y/o su representante legal, en caso de que los hubiera, y establece que el funcionario que indebidamente quebrante la reserva de las actuaciones o proporcione copia de ellas o de los documentos que obren en la averiguación incurrirá en responsabilidad; de donde se advierte que el Ministerio Público está impedido para otorgar dichas copias, lo cual es acorde con la garantía de defensa contenida en las fracciones VII y IX del artículo 20, apartado A, de la Constitución Federal</w:t>
      </w:r>
      <w:r w:rsidRPr="0013733E">
        <w:rPr>
          <w:rFonts w:ascii="Palatino Linotype" w:hAnsi="Palatino Linotype"/>
          <w:i/>
        </w:rPr>
        <w:t xml:space="preserve">, en tanto que ésta dispone que tratándose de la averiguación previa, dicha garantía se otorgará con las limitantes, términos y requisitos que las leyes secundarias determinen, es decir, </w:t>
      </w:r>
      <w:r w:rsidRPr="00BD10B9">
        <w:rPr>
          <w:rFonts w:ascii="Palatino Linotype" w:hAnsi="Palatino Linotype"/>
          <w:b/>
          <w:i/>
          <w:u w:val="single"/>
        </w:rPr>
        <w:t xml:space="preserve">si bien es cierto que las partes tienen derecho a que se les proporcione toda la información que requieran para su defensa, también lo es que el hecho de que el Ministerio Público no pueda proporcionar copias –en aras de proteger la reserva de las actuaciones–, en nada restringe el aludido derecho, pues aun cuando no se </w:t>
      </w:r>
      <w:r w:rsidRPr="00BD10B9">
        <w:rPr>
          <w:rFonts w:ascii="Palatino Linotype" w:hAnsi="Palatino Linotype"/>
          <w:b/>
          <w:i/>
          <w:u w:val="single"/>
        </w:rPr>
        <w:lastRenderedPageBreak/>
        <w:t>les proporcionen copias, el referido artículo 16 prevé que podrán tener acceso a las actuaciones de las que se podrán tomar todos los datos que estimen indispensables</w:t>
      </w:r>
      <w:r w:rsidRPr="0013733E">
        <w:rPr>
          <w:rFonts w:ascii="Palatino Linotype" w:hAnsi="Palatino Linotype"/>
          <w:i/>
        </w:rPr>
        <w:t>. De manera que si la fracción VII, apartado A, del artículo 20 constitucional no exige que los datos solicitados por el inculpado, su defensor y la víctima y ofendido y/o su representante legal, para preparar su defensa y que consten en la averiguación o en el proceso, sean pedidos precisamente por escrito y ministrados en forma de copias simples o certificadas, basta que el expediente respectivo sea puesto a la vista de las partes para que puedan consultarlo.</w:t>
      </w:r>
      <w:r>
        <w:rPr>
          <w:rFonts w:ascii="Palatino Linotype" w:hAnsi="Palatino Linotype"/>
          <w:i/>
        </w:rPr>
        <w:t>”(Sic)</w:t>
      </w:r>
    </w:p>
    <w:p w:rsidR="00C71C2F" w:rsidRDefault="00C71C2F" w:rsidP="0015102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709"/>
        <w:jc w:val="both"/>
        <w:rPr>
          <w:rFonts w:ascii="Palatino Linotype" w:hAnsi="Palatino Linotype"/>
        </w:rPr>
      </w:pPr>
    </w:p>
    <w:p w:rsidR="00BD1F52" w:rsidRDefault="008D096B" w:rsidP="00151023">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Dichas tesis se estima</w:t>
      </w:r>
      <w:r w:rsidR="0041661A">
        <w:rPr>
          <w:rFonts w:ascii="Palatino Linotype" w:hAnsi="Palatino Linotype"/>
        </w:rPr>
        <w:t>n</w:t>
      </w:r>
      <w:r>
        <w:rPr>
          <w:rFonts w:ascii="Palatino Linotype" w:hAnsi="Palatino Linotype"/>
        </w:rPr>
        <w:t xml:space="preserve"> importante</w:t>
      </w:r>
      <w:r w:rsidR="0041661A">
        <w:rPr>
          <w:rFonts w:ascii="Palatino Linotype" w:hAnsi="Palatino Linotype"/>
        </w:rPr>
        <w:t>s</w:t>
      </w:r>
      <w:r>
        <w:rPr>
          <w:rFonts w:ascii="Palatino Linotype" w:hAnsi="Palatino Linotype"/>
        </w:rPr>
        <w:t xml:space="preserve"> traer a colación</w:t>
      </w:r>
      <w:r w:rsidR="004B481E">
        <w:rPr>
          <w:rFonts w:ascii="Palatino Linotype" w:hAnsi="Palatino Linotype"/>
        </w:rPr>
        <w:t xml:space="preserve">, en virtud que la primera de ellas hace alusión </w:t>
      </w:r>
      <w:r w:rsidR="00151023">
        <w:rPr>
          <w:rFonts w:ascii="Palatino Linotype" w:hAnsi="Palatino Linotype"/>
        </w:rPr>
        <w:t xml:space="preserve">a que la averiguación previa es un </w:t>
      </w:r>
      <w:r w:rsidR="00151023" w:rsidRPr="00151023">
        <w:rPr>
          <w:rFonts w:ascii="Palatino Linotype" w:hAnsi="Palatino Linotype"/>
        </w:rPr>
        <w:t xml:space="preserve">estadio indagatorio en el cual aún no existe un procesado, pues en esencia, lo que representa es la etapa de investigación en la que el fiscal recaba todos aquellos elementos de prueba tendientes a demostrar la existencia de hechos delictuosos, por tanto la garantía que establece la fracción VII, del artículo 20 constitucional, es clara </w:t>
      </w:r>
      <w:r w:rsidR="00151023">
        <w:rPr>
          <w:rFonts w:ascii="Palatino Linotype" w:hAnsi="Palatino Linotype"/>
        </w:rPr>
        <w:t>al referirse</w:t>
      </w:r>
      <w:r w:rsidR="00151023" w:rsidRPr="00151023">
        <w:rPr>
          <w:rFonts w:ascii="Palatino Linotype" w:hAnsi="Palatino Linotype"/>
        </w:rPr>
        <w:t xml:space="preserve"> al acusad</w:t>
      </w:r>
      <w:r w:rsidR="00151023">
        <w:rPr>
          <w:rFonts w:ascii="Palatino Linotype" w:hAnsi="Palatino Linotype"/>
        </w:rPr>
        <w:t>o y no a los simples indiciados; sin embargo del presente asunto quien figuradamente las solicita es la parte ofendida.</w:t>
      </w:r>
    </w:p>
    <w:p w:rsidR="00151023" w:rsidRDefault="00151023" w:rsidP="0015102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rPr>
      </w:pPr>
    </w:p>
    <w:p w:rsidR="00151023" w:rsidRDefault="000306D5" w:rsidP="000306D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De la segunda tesis</w:t>
      </w:r>
      <w:r w:rsidRPr="000306D5">
        <w:rPr>
          <w:rFonts w:ascii="Palatino Linotype" w:hAnsi="Palatino Linotype"/>
        </w:rPr>
        <w:t xml:space="preserve">, se desprenden las partes que pueden tener acceso a las actuaciones de la averiguación previa, teniendo derecho a que se les proporcione toda la información que requieran para su defensa; asimismo que el hecho de que el Ministerio Público no pueda proporcionar copias –en aras de proteger la reserva de las actuaciones–, en nada restringe el aludido derecho, pues aun cuando no se les proporcionen copias, el referido artículo 16 prevé que podrán tener acceso a las </w:t>
      </w:r>
      <w:r w:rsidRPr="000306D5">
        <w:rPr>
          <w:rFonts w:ascii="Palatino Linotype" w:hAnsi="Palatino Linotype"/>
        </w:rPr>
        <w:lastRenderedPageBreak/>
        <w:t>actuaciones de las que se podrán tomar todos los datos que estimen indispensables</w:t>
      </w:r>
      <w:r>
        <w:rPr>
          <w:rFonts w:ascii="Palatino Linotype" w:hAnsi="Palatino Linotype"/>
        </w:rPr>
        <w:t xml:space="preserve"> </w:t>
      </w:r>
      <w:r w:rsidR="00B1690D">
        <w:rPr>
          <w:rFonts w:ascii="Palatino Linotype" w:hAnsi="Palatino Linotype"/>
        </w:rPr>
        <w:t>bastando</w:t>
      </w:r>
      <w:r w:rsidRPr="000306D5">
        <w:rPr>
          <w:rFonts w:ascii="Palatino Linotype" w:hAnsi="Palatino Linotype"/>
        </w:rPr>
        <w:t xml:space="preserve"> que el expediente respectivo sea puesto a la vista de las partes para que puedan consultarlo.</w:t>
      </w:r>
    </w:p>
    <w:p w:rsidR="00D767CC" w:rsidRDefault="00D767CC" w:rsidP="00D767CC">
      <w:pPr>
        <w:pStyle w:val="Prrafodelista"/>
        <w:rPr>
          <w:rFonts w:ascii="Palatino Linotype" w:hAnsi="Palatino Linotype"/>
        </w:rPr>
      </w:pPr>
    </w:p>
    <w:p w:rsidR="00D767CC" w:rsidRPr="00D767CC" w:rsidRDefault="00D767CC" w:rsidP="00D767CC">
      <w:pPr>
        <w:pStyle w:val="Prrafodelista"/>
        <w:rPr>
          <w:rFonts w:ascii="Palatino Linotype" w:hAnsi="Palatino Linotype"/>
        </w:rPr>
      </w:pPr>
    </w:p>
    <w:p w:rsidR="00D767CC" w:rsidRPr="00D767CC" w:rsidRDefault="00D767CC" w:rsidP="00D767CC">
      <w:pPr>
        <w:pStyle w:val="Ttulo1"/>
        <w:numPr>
          <w:ilvl w:val="0"/>
          <w:numId w:val="49"/>
        </w:numPr>
      </w:pPr>
      <w:bookmarkStart w:id="74" w:name="_Toc536458713"/>
      <w:r>
        <w:t>Utilidad social</w:t>
      </w:r>
      <w:bookmarkEnd w:id="74"/>
    </w:p>
    <w:p w:rsidR="00B1690D" w:rsidRPr="00B1690D" w:rsidRDefault="00B1690D" w:rsidP="00B1690D">
      <w:pPr>
        <w:pStyle w:val="Prrafodelista"/>
        <w:rPr>
          <w:rFonts w:ascii="Palatino Linotype" w:hAnsi="Palatino Linotype"/>
        </w:rPr>
      </w:pPr>
    </w:p>
    <w:p w:rsidR="00B1690D" w:rsidRDefault="008F6683" w:rsidP="0042374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423741">
        <w:rPr>
          <w:rFonts w:ascii="Palatino Linotype" w:hAnsi="Palatino Linotype"/>
        </w:rPr>
        <w:t>Sin embargo, ese procedimiento es del conocimiento general de la sociedad mexiquense, lo extenso y tedioso que puede implicar para la parte ofendida</w:t>
      </w:r>
      <w:r w:rsidR="006B4FE5">
        <w:rPr>
          <w:rFonts w:ascii="Palatino Linotype" w:hAnsi="Palatino Linotype"/>
        </w:rPr>
        <w:t xml:space="preserve"> o víctima</w:t>
      </w:r>
      <w:r w:rsidRPr="00423741">
        <w:rPr>
          <w:rFonts w:ascii="Palatino Linotype" w:hAnsi="Palatino Linotype"/>
        </w:rPr>
        <w:t>. Los ciudadanos</w:t>
      </w:r>
      <w:r w:rsidRPr="008F6683">
        <w:t xml:space="preserve"> </w:t>
      </w:r>
      <w:r w:rsidR="00423741" w:rsidRPr="00423741">
        <w:rPr>
          <w:rFonts w:ascii="Palatino Linotype" w:hAnsi="Palatino Linotype"/>
        </w:rPr>
        <w:t>han externado en múltiples ocasiones, mayoritariamente en los medios de comunicación convencional, sus</w:t>
      </w:r>
      <w:r w:rsidRPr="00423741">
        <w:rPr>
          <w:rFonts w:ascii="Palatino Linotype" w:hAnsi="Palatino Linotype"/>
        </w:rPr>
        <w:t xml:space="preserve"> insatisfactorias experiencias con relación a la funcionalidad de</w:t>
      </w:r>
      <w:r w:rsidR="006B4FE5">
        <w:rPr>
          <w:rFonts w:ascii="Palatino Linotype" w:hAnsi="Palatino Linotype"/>
        </w:rPr>
        <w:t>l</w:t>
      </w:r>
      <w:r w:rsidRPr="00423741">
        <w:rPr>
          <w:rFonts w:ascii="Palatino Linotype" w:hAnsi="Palatino Linotype"/>
        </w:rPr>
        <w:t xml:space="preserve"> Ministerio Público. No dejo de reconocer que en muchas veces se han mostrado resultados en las investigaciones que realizan lo</w:t>
      </w:r>
      <w:r w:rsidR="00423741" w:rsidRPr="00423741">
        <w:rPr>
          <w:rFonts w:ascii="Palatino Linotype" w:hAnsi="Palatino Linotype"/>
        </w:rPr>
        <w:t>s Agentes del Ministerio Público;</w:t>
      </w:r>
      <w:r w:rsidR="00423741">
        <w:rPr>
          <w:rFonts w:ascii="Palatino Linotype" w:hAnsi="Palatino Linotype"/>
        </w:rPr>
        <w:t xml:space="preserve"> s</w:t>
      </w:r>
      <w:r w:rsidRPr="00423741">
        <w:rPr>
          <w:rFonts w:ascii="Palatino Linotype" w:hAnsi="Palatino Linotype"/>
        </w:rPr>
        <w:t xml:space="preserve">in embargo, ante la ineficacia que eventualmente representa </w:t>
      </w:r>
      <w:r w:rsidR="00423741" w:rsidRPr="00423741">
        <w:rPr>
          <w:rFonts w:ascii="Palatino Linotype" w:hAnsi="Palatino Linotype"/>
        </w:rPr>
        <w:t>para</w:t>
      </w:r>
      <w:r w:rsidRPr="00423741">
        <w:rPr>
          <w:rFonts w:ascii="Palatino Linotype" w:hAnsi="Palatino Linotype"/>
        </w:rPr>
        <w:t xml:space="preserve"> las victimas el tener acceso a las averiguaciones previas por la mala funcionalidad y la falta </w:t>
      </w:r>
      <w:r w:rsidR="00423741" w:rsidRPr="00423741">
        <w:rPr>
          <w:rFonts w:ascii="Palatino Linotype" w:hAnsi="Palatino Linotype"/>
        </w:rPr>
        <w:t>estructural</w:t>
      </w:r>
      <w:r w:rsidR="006B4FE5">
        <w:rPr>
          <w:rFonts w:ascii="Palatino Linotype" w:hAnsi="Palatino Linotype"/>
        </w:rPr>
        <w:t xml:space="preserve"> del sistema de justic</w:t>
      </w:r>
      <w:r w:rsidR="006B4FE5" w:rsidRPr="00423741">
        <w:rPr>
          <w:rFonts w:ascii="Palatino Linotype" w:hAnsi="Palatino Linotype"/>
        </w:rPr>
        <w:t>ia</w:t>
      </w:r>
      <w:r w:rsidRPr="00423741">
        <w:rPr>
          <w:rFonts w:ascii="Palatino Linotype" w:hAnsi="Palatino Linotype"/>
        </w:rPr>
        <w:t xml:space="preserve">, es que conlleva a las personas </w:t>
      </w:r>
      <w:r w:rsidR="00423741">
        <w:rPr>
          <w:rFonts w:ascii="Palatino Linotype" w:hAnsi="Palatino Linotype"/>
        </w:rPr>
        <w:t>a que</w:t>
      </w:r>
      <w:r w:rsidRPr="00423741">
        <w:rPr>
          <w:rFonts w:ascii="Palatino Linotype" w:hAnsi="Palatino Linotype"/>
        </w:rPr>
        <w:t xml:space="preserve"> pretendan tener acceso a la información a </w:t>
      </w:r>
      <w:r w:rsidR="00423741" w:rsidRPr="00423741">
        <w:rPr>
          <w:rFonts w:ascii="Palatino Linotype" w:hAnsi="Palatino Linotype"/>
        </w:rPr>
        <w:t>través</w:t>
      </w:r>
      <w:r w:rsidRPr="00423741">
        <w:rPr>
          <w:rFonts w:ascii="Palatino Linotype" w:hAnsi="Palatino Linotype"/>
        </w:rPr>
        <w:t xml:space="preserve"> del ejercicio</w:t>
      </w:r>
      <w:r w:rsidR="00423741">
        <w:rPr>
          <w:rFonts w:ascii="Palatino Linotype" w:hAnsi="Palatino Linotype"/>
        </w:rPr>
        <w:t xml:space="preserve"> de los derechos ARCO, o </w:t>
      </w:r>
      <w:r w:rsidRPr="00423741">
        <w:rPr>
          <w:rFonts w:ascii="Palatino Linotype" w:hAnsi="Palatino Linotype"/>
        </w:rPr>
        <w:t xml:space="preserve">del derecho de acceso a la </w:t>
      </w:r>
      <w:r w:rsidR="00423741" w:rsidRPr="00423741">
        <w:rPr>
          <w:rFonts w:ascii="Palatino Linotype" w:hAnsi="Palatino Linotype"/>
        </w:rPr>
        <w:t>información</w:t>
      </w:r>
      <w:r w:rsidR="00423741">
        <w:rPr>
          <w:rFonts w:ascii="Palatino Linotype" w:hAnsi="Palatino Linotype"/>
        </w:rPr>
        <w:t xml:space="preserve"> pública.</w:t>
      </w:r>
    </w:p>
    <w:p w:rsidR="00423741" w:rsidRPr="00423741" w:rsidRDefault="00423741" w:rsidP="00423741">
      <w:pPr>
        <w:pStyle w:val="Prrafodelista"/>
        <w:rPr>
          <w:rFonts w:ascii="Palatino Linotype" w:hAnsi="Palatino Linotype"/>
        </w:rPr>
      </w:pPr>
    </w:p>
    <w:p w:rsidR="00423741" w:rsidRDefault="00662926" w:rsidP="0066292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Por otro lado,</w:t>
      </w:r>
      <w:r w:rsidR="00423741">
        <w:rPr>
          <w:rFonts w:ascii="Palatino Linotype" w:hAnsi="Palatino Linotype"/>
        </w:rPr>
        <w:t xml:space="preserve"> el poder tener acceso a la información</w:t>
      </w:r>
      <w:r>
        <w:rPr>
          <w:rFonts w:ascii="Palatino Linotype" w:hAnsi="Palatino Linotype"/>
        </w:rPr>
        <w:t xml:space="preserve"> de mérito</w:t>
      </w:r>
      <w:r w:rsidR="00423741">
        <w:rPr>
          <w:rFonts w:ascii="Palatino Linotype" w:hAnsi="Palatino Linotype"/>
        </w:rPr>
        <w:t xml:space="preserve">, </w:t>
      </w:r>
      <w:r w:rsidR="006B4FE5">
        <w:rPr>
          <w:rFonts w:ascii="Palatino Linotype" w:hAnsi="Palatino Linotype"/>
        </w:rPr>
        <w:t xml:space="preserve">(generalmente a la parte ofendida o victima), </w:t>
      </w:r>
      <w:r w:rsidR="00423741">
        <w:rPr>
          <w:rFonts w:ascii="Palatino Linotype" w:hAnsi="Palatino Linotype"/>
        </w:rPr>
        <w:t>le sirve para investigar y dar cuenta de si el Ministerio Público está</w:t>
      </w:r>
      <w:r>
        <w:rPr>
          <w:rFonts w:ascii="Palatino Linotype" w:hAnsi="Palatino Linotype"/>
        </w:rPr>
        <w:t xml:space="preserve"> llevando un correcto actuar en la in</w:t>
      </w:r>
      <w:r w:rsidRPr="00662926">
        <w:rPr>
          <w:rFonts w:ascii="Palatino Linotype" w:hAnsi="Palatino Linotype"/>
        </w:rPr>
        <w:t>vestigación de los hechos que revisten los caracteres de delito, de protecc</w:t>
      </w:r>
      <w:r>
        <w:rPr>
          <w:rFonts w:ascii="Palatino Linotype" w:hAnsi="Palatino Linotype"/>
        </w:rPr>
        <w:t>ión a las víctimas y testigos,</w:t>
      </w:r>
      <w:r w:rsidRPr="00662926">
        <w:rPr>
          <w:rFonts w:ascii="Palatino Linotype" w:hAnsi="Palatino Linotype"/>
        </w:rPr>
        <w:t xml:space="preserve"> y sust</w:t>
      </w:r>
      <w:r>
        <w:rPr>
          <w:rFonts w:ascii="Palatino Linotype" w:hAnsi="Palatino Linotype"/>
        </w:rPr>
        <w:t xml:space="preserve">ento de </w:t>
      </w:r>
      <w:r>
        <w:rPr>
          <w:rFonts w:ascii="Palatino Linotype" w:hAnsi="Palatino Linotype"/>
        </w:rPr>
        <w:lastRenderedPageBreak/>
        <w:t>la acción penal pública en ejercicio de sus funciones y atribuciones, que le han sido encomendadas para con la sociedad. De ahí la utilidad social de este tipo de solicitudes de información.</w:t>
      </w:r>
    </w:p>
    <w:p w:rsidR="00D767CC" w:rsidRPr="00D767CC" w:rsidRDefault="00D767CC" w:rsidP="00D767CC">
      <w:pPr>
        <w:pStyle w:val="Prrafodelista"/>
        <w:rPr>
          <w:rFonts w:ascii="Palatino Linotype" w:hAnsi="Palatino Linotype"/>
        </w:rPr>
      </w:pPr>
    </w:p>
    <w:p w:rsidR="008F6683" w:rsidRDefault="00662926" w:rsidP="000306D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Ahora bien</w:t>
      </w:r>
      <w:r w:rsidR="00423741">
        <w:rPr>
          <w:rFonts w:ascii="Palatino Linotype" w:hAnsi="Palatino Linotype"/>
        </w:rPr>
        <w:t>, el ejercicio del derecho de acceso a datos es una modalidad de acceso a la información con la peculiaridad que puede acceder a la información de manera integra a menos que existan datos personales de un tercero.</w:t>
      </w:r>
    </w:p>
    <w:p w:rsidR="00E2700B" w:rsidRPr="00E2700B" w:rsidRDefault="00E2700B" w:rsidP="00E2700B">
      <w:pPr>
        <w:pStyle w:val="Prrafodelista"/>
        <w:rPr>
          <w:rFonts w:ascii="Palatino Linotype" w:hAnsi="Palatino Linotype"/>
        </w:rPr>
      </w:pPr>
    </w:p>
    <w:p w:rsidR="00423741" w:rsidRPr="00423741" w:rsidRDefault="00423741" w:rsidP="00423741">
      <w:pPr>
        <w:pStyle w:val="Prrafodelista"/>
        <w:rPr>
          <w:rFonts w:ascii="Palatino Linotype" w:hAnsi="Palatino Linotype"/>
        </w:rPr>
      </w:pPr>
    </w:p>
    <w:p w:rsidR="00662926" w:rsidRDefault="00423741" w:rsidP="0066292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 xml:space="preserve">Luego entonces, </w:t>
      </w:r>
      <w:r w:rsidR="006B4FE5">
        <w:rPr>
          <w:rFonts w:ascii="Palatino Linotype" w:hAnsi="Palatino Linotype"/>
        </w:rPr>
        <w:t xml:space="preserve">es que claramente estimo que </w:t>
      </w:r>
      <w:r>
        <w:rPr>
          <w:rFonts w:ascii="Palatino Linotype" w:hAnsi="Palatino Linotype"/>
        </w:rPr>
        <w:t>la parte afectada debe acceder a la información</w:t>
      </w:r>
      <w:r w:rsidR="00662926">
        <w:rPr>
          <w:rFonts w:ascii="Palatino Linotype" w:hAnsi="Palatino Linotype"/>
        </w:rPr>
        <w:t>, en ese contexto me apegaría a la jurisprudencia de la Corte, porque las víctimas tienen derecho acceder a la investigación.</w:t>
      </w:r>
    </w:p>
    <w:p w:rsidR="00E2700B" w:rsidRPr="00E2700B" w:rsidRDefault="00E2700B" w:rsidP="00E2700B">
      <w:pPr>
        <w:rPr>
          <w:rFonts w:ascii="Palatino Linotype" w:hAnsi="Palatino Linotype"/>
          <w:sz w:val="32"/>
        </w:rPr>
      </w:pPr>
    </w:p>
    <w:p w:rsidR="00423741" w:rsidRDefault="00662926" w:rsidP="0066292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 xml:space="preserve">Asimismo, estimo dable traer a contexto la resolución </w:t>
      </w:r>
      <w:r w:rsidR="00602C98">
        <w:rPr>
          <w:rFonts w:ascii="Palatino Linotype" w:hAnsi="Palatino Linotype"/>
        </w:rPr>
        <w:t>de la C</w:t>
      </w:r>
      <w:r w:rsidRPr="00662926">
        <w:rPr>
          <w:rFonts w:ascii="Palatino Linotype" w:hAnsi="Palatino Linotype"/>
        </w:rPr>
        <w:t xml:space="preserve">orte </w:t>
      </w:r>
      <w:r w:rsidR="00602C98">
        <w:rPr>
          <w:rFonts w:ascii="Palatino Linotype" w:hAnsi="Palatino Linotype"/>
        </w:rPr>
        <w:t>Interamericana de Derechos Humanos, del caso R</w:t>
      </w:r>
      <w:r w:rsidRPr="00662926">
        <w:rPr>
          <w:rFonts w:ascii="Palatino Linotype" w:hAnsi="Palatino Linotype"/>
        </w:rPr>
        <w:t xml:space="preserve">adilla </w:t>
      </w:r>
      <w:r w:rsidR="00602C98">
        <w:rPr>
          <w:rFonts w:ascii="Palatino Linotype" w:hAnsi="Palatino Linotype"/>
        </w:rPr>
        <w:t>Pacheco, F</w:t>
      </w:r>
      <w:r w:rsidRPr="00662926">
        <w:rPr>
          <w:rFonts w:ascii="Palatino Linotype" w:hAnsi="Palatino Linotype"/>
        </w:rPr>
        <w:t>e</w:t>
      </w:r>
      <w:r w:rsidR="00602C98">
        <w:rPr>
          <w:rFonts w:ascii="Palatino Linotype" w:hAnsi="Palatino Linotype"/>
        </w:rPr>
        <w:t>rnández Ortega y otros, y R</w:t>
      </w:r>
      <w:r w:rsidRPr="00662926">
        <w:rPr>
          <w:rFonts w:ascii="Palatino Linotype" w:hAnsi="Palatino Linotype"/>
        </w:rPr>
        <w:t xml:space="preserve">osendo </w:t>
      </w:r>
      <w:r w:rsidR="00602C98">
        <w:rPr>
          <w:rFonts w:ascii="Palatino Linotype" w:hAnsi="Palatino Linotype"/>
        </w:rPr>
        <w:t>C</w:t>
      </w:r>
      <w:r w:rsidRPr="00662926">
        <w:rPr>
          <w:rFonts w:ascii="Palatino Linotype" w:hAnsi="Palatino Linotype"/>
        </w:rPr>
        <w:t xml:space="preserve">antú y otra vs. </w:t>
      </w:r>
      <w:r w:rsidR="00602C98" w:rsidRPr="00662926">
        <w:rPr>
          <w:rFonts w:ascii="Palatino Linotype" w:hAnsi="Palatino Linotype"/>
        </w:rPr>
        <w:t>México</w:t>
      </w:r>
      <w:r w:rsidR="00602C98">
        <w:rPr>
          <w:rFonts w:ascii="Palatino Linotype" w:hAnsi="Palatino Linotype"/>
        </w:rPr>
        <w:t>, en s</w:t>
      </w:r>
      <w:r w:rsidR="006B4FE5">
        <w:rPr>
          <w:rFonts w:ascii="Palatino Linotype" w:hAnsi="Palatino Linotype"/>
        </w:rPr>
        <w:t>us</w:t>
      </w:r>
      <w:r w:rsidR="00602C98">
        <w:rPr>
          <w:rFonts w:ascii="Palatino Linotype" w:hAnsi="Palatino Linotype"/>
        </w:rPr>
        <w:t xml:space="preserve"> párrafos identificados con los numerales 256 y 257, a saber:</w:t>
      </w:r>
    </w:p>
    <w:p w:rsidR="00602C98" w:rsidRPr="00602C98" w:rsidRDefault="00602C98" w:rsidP="00602C98">
      <w:pPr>
        <w:pStyle w:val="Prrafodelista"/>
        <w:rPr>
          <w:rFonts w:ascii="Palatino Linotype" w:hAnsi="Palatino Linotype"/>
        </w:rPr>
      </w:pPr>
    </w:p>
    <w:p w:rsidR="00602C98" w:rsidRDefault="00602C98" w:rsidP="00602C9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rPr>
      </w:pPr>
      <w:r>
        <w:rPr>
          <w:noProof/>
          <w:lang w:eastAsia="es-MX"/>
        </w:rPr>
        <w:lastRenderedPageBreak/>
        <w:drawing>
          <wp:inline distT="0" distB="0" distL="0" distR="0" wp14:anchorId="7696BFDA" wp14:editId="31370897">
            <wp:extent cx="5612130" cy="2088515"/>
            <wp:effectExtent l="19050" t="19050" r="26670"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088515"/>
                    </a:xfrm>
                    <a:prstGeom prst="rect">
                      <a:avLst/>
                    </a:prstGeom>
                    <a:ln>
                      <a:solidFill>
                        <a:schemeClr val="tx1"/>
                      </a:solidFill>
                    </a:ln>
                  </pic:spPr>
                </pic:pic>
              </a:graphicData>
            </a:graphic>
          </wp:inline>
        </w:drawing>
      </w:r>
    </w:p>
    <w:p w:rsidR="00423741" w:rsidRPr="00423741" w:rsidRDefault="00423741" w:rsidP="00423741">
      <w:pPr>
        <w:pStyle w:val="Prrafodelista"/>
        <w:rPr>
          <w:rFonts w:ascii="Palatino Linotype" w:hAnsi="Palatino Linotype"/>
        </w:rPr>
      </w:pPr>
    </w:p>
    <w:p w:rsidR="00EA3B74" w:rsidRDefault="00EA3B74" w:rsidP="006B4FE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 xml:space="preserve">Alusión que va a colación de que </w:t>
      </w:r>
      <w:r w:rsidRPr="00EA3B74">
        <w:rPr>
          <w:rFonts w:ascii="Palatino Linotype" w:hAnsi="Palatino Linotype"/>
        </w:rPr>
        <w:t xml:space="preserve">el Pleno del </w:t>
      </w:r>
      <w:r>
        <w:rPr>
          <w:rFonts w:ascii="Palatino Linotype" w:hAnsi="Palatino Linotype"/>
        </w:rPr>
        <w:t xml:space="preserve">entonces </w:t>
      </w:r>
      <w:r w:rsidR="006B4FE5">
        <w:rPr>
          <w:rFonts w:ascii="Palatino Linotype" w:hAnsi="Palatino Linotype"/>
        </w:rPr>
        <w:t>Instituto Federal de Acceso a la Información Pública (</w:t>
      </w:r>
      <w:r w:rsidRPr="00EA3B74">
        <w:rPr>
          <w:rFonts w:ascii="Palatino Linotype" w:hAnsi="Palatino Linotype"/>
        </w:rPr>
        <w:t>IFAI</w:t>
      </w:r>
      <w:r w:rsidR="006B4FE5">
        <w:rPr>
          <w:rFonts w:ascii="Palatino Linotype" w:hAnsi="Palatino Linotype"/>
        </w:rPr>
        <w:t>),</w:t>
      </w:r>
      <w:r w:rsidRPr="00EA3B74">
        <w:rPr>
          <w:rFonts w:ascii="Palatino Linotype" w:hAnsi="Palatino Linotype"/>
        </w:rPr>
        <w:t xml:space="preserve"> emitió una resolución en la que obliga a la P</w:t>
      </w:r>
      <w:r>
        <w:rPr>
          <w:rFonts w:ascii="Palatino Linotype" w:hAnsi="Palatino Linotype"/>
        </w:rPr>
        <w:t xml:space="preserve">rocuraduría </w:t>
      </w:r>
      <w:r w:rsidRPr="00EA3B74">
        <w:rPr>
          <w:rFonts w:ascii="Palatino Linotype" w:hAnsi="Palatino Linotype"/>
        </w:rPr>
        <w:t>G</w:t>
      </w:r>
      <w:r>
        <w:rPr>
          <w:rFonts w:ascii="Palatino Linotype" w:hAnsi="Palatino Linotype"/>
        </w:rPr>
        <w:t xml:space="preserve">eneral de la </w:t>
      </w:r>
      <w:r w:rsidRPr="00EA3B74">
        <w:rPr>
          <w:rFonts w:ascii="Palatino Linotype" w:hAnsi="Palatino Linotype"/>
        </w:rPr>
        <w:t>R</w:t>
      </w:r>
      <w:r>
        <w:rPr>
          <w:rFonts w:ascii="Palatino Linotype" w:hAnsi="Palatino Linotype"/>
        </w:rPr>
        <w:t>epublica (PGR)</w:t>
      </w:r>
      <w:r w:rsidRPr="00EA3B74">
        <w:rPr>
          <w:rFonts w:ascii="Palatino Linotype" w:hAnsi="Palatino Linotype"/>
        </w:rPr>
        <w:t xml:space="preserve"> a entregar a la Comisión Mexicana de Defensa y Promoción de los Derechos Humanos (CMDPDH), copias de la versión pública de dicha averiguación previa, por considerarla vinculada a la investigación de violaciones graves de derechos fundamentales y delitos de lesa humanidad.</w:t>
      </w:r>
    </w:p>
    <w:p w:rsidR="00EA3B74" w:rsidRDefault="00EA3B74" w:rsidP="00EA3B7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rPr>
      </w:pPr>
    </w:p>
    <w:p w:rsidR="00423741" w:rsidRDefault="00EA3B74" w:rsidP="006B4FE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Ahora bien, el</w:t>
      </w:r>
      <w:r w:rsidR="00602C98" w:rsidRPr="00602C98">
        <w:rPr>
          <w:rFonts w:ascii="Palatino Linotype" w:hAnsi="Palatino Linotype"/>
        </w:rPr>
        <w:t xml:space="preserve"> </w:t>
      </w:r>
      <w:r w:rsidRPr="00602C98">
        <w:rPr>
          <w:rFonts w:ascii="Palatino Linotype" w:hAnsi="Palatino Linotype"/>
        </w:rPr>
        <w:t>párrafo</w:t>
      </w:r>
      <w:r w:rsidR="00602C98" w:rsidRPr="00602C98">
        <w:rPr>
          <w:rFonts w:ascii="Palatino Linotype" w:hAnsi="Palatino Linotype"/>
        </w:rPr>
        <w:t xml:space="preserve"> 257 se refiere a que el derecho de acceso a la </w:t>
      </w:r>
      <w:r w:rsidRPr="00602C98">
        <w:rPr>
          <w:rFonts w:ascii="Palatino Linotype" w:hAnsi="Palatino Linotype"/>
        </w:rPr>
        <w:t>información</w:t>
      </w:r>
      <w:r w:rsidR="00602C98" w:rsidRPr="00602C98">
        <w:rPr>
          <w:rFonts w:ascii="Palatino Linotype" w:hAnsi="Palatino Linotype"/>
        </w:rPr>
        <w:t xml:space="preserve"> publica, en temas de violaciones graves a derechos humanos y lesa humanidad, debe ser de acceso publico y no puede invocarse el carácter de reservado, contexto que subsiste en la actual </w:t>
      </w:r>
      <w:r w:rsidR="00602C98">
        <w:rPr>
          <w:rFonts w:ascii="Palatino Linotype" w:hAnsi="Palatino Linotype"/>
        </w:rPr>
        <w:t>Ley General de Transparencia y Acceso a l</w:t>
      </w:r>
      <w:r w:rsidR="00602C98" w:rsidRPr="00602C98">
        <w:rPr>
          <w:rFonts w:ascii="Palatino Linotype" w:hAnsi="Palatino Linotype"/>
        </w:rPr>
        <w:t>a Información Pública</w:t>
      </w:r>
      <w:r w:rsidR="006B4FE5">
        <w:rPr>
          <w:rFonts w:ascii="Palatino Linotype" w:hAnsi="Palatino Linotype"/>
        </w:rPr>
        <w:t>, por tanto de advertirse que la información que se solicita versa en dichos rubros no puede ser reservada.</w:t>
      </w:r>
    </w:p>
    <w:p w:rsidR="00EA3B74" w:rsidRDefault="00EA3B74" w:rsidP="006B4FE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rPr>
      </w:pPr>
    </w:p>
    <w:p w:rsidR="00EA3B74" w:rsidRDefault="00EA3B74" w:rsidP="006B4FE5">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lastRenderedPageBreak/>
        <w:t xml:space="preserve">De ahí que el proyecto que primeramente sometiera a consideración de este Órgano Garante, versaba en que la titular de los datos tuviera acceso a su versión </w:t>
      </w:r>
      <w:r w:rsidR="00082DEF">
        <w:rPr>
          <w:rFonts w:ascii="Palatino Linotype" w:hAnsi="Palatino Linotype"/>
        </w:rPr>
        <w:t>íntegra</w:t>
      </w:r>
      <w:r>
        <w:rPr>
          <w:rFonts w:ascii="Palatino Linotype" w:hAnsi="Palatino Linotype"/>
        </w:rPr>
        <w:t xml:space="preserve"> para el caso de no contener datos personales y para el caso contrario, entonces mediante una versión pública. Esto para garantizar el acceso a la </w:t>
      </w:r>
      <w:r w:rsidR="00082DEF">
        <w:rPr>
          <w:rFonts w:ascii="Palatino Linotype" w:hAnsi="Palatino Linotype"/>
        </w:rPr>
        <w:t>información</w:t>
      </w:r>
      <w:r>
        <w:rPr>
          <w:rFonts w:ascii="Palatino Linotype" w:hAnsi="Palatino Linotype"/>
        </w:rPr>
        <w:t xml:space="preserve">, y por otro lado la debida protección </w:t>
      </w:r>
      <w:r w:rsidR="00082DEF">
        <w:rPr>
          <w:rFonts w:ascii="Palatino Linotype" w:hAnsi="Palatino Linotype"/>
        </w:rPr>
        <w:t>de datos personales de terceros.</w:t>
      </w:r>
    </w:p>
    <w:p w:rsidR="00E2700B" w:rsidRPr="00E2700B" w:rsidRDefault="00E2700B" w:rsidP="00E2700B">
      <w:pPr>
        <w:pStyle w:val="Prrafodelista"/>
        <w:rPr>
          <w:rFonts w:ascii="Palatino Linotype" w:hAnsi="Palatino Linotype"/>
        </w:rPr>
      </w:pPr>
    </w:p>
    <w:p w:rsidR="00082DEF" w:rsidRPr="00082DEF" w:rsidRDefault="00082DEF" w:rsidP="00082DEF">
      <w:pPr>
        <w:pStyle w:val="Prrafodelista"/>
        <w:rPr>
          <w:rFonts w:ascii="Palatino Linotype" w:hAnsi="Palatino Linotype"/>
        </w:rPr>
      </w:pPr>
    </w:p>
    <w:p w:rsidR="00082DEF" w:rsidRPr="000306D5" w:rsidRDefault="00082DEF" w:rsidP="0043466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Pr>
          <w:rFonts w:ascii="Palatino Linotype" w:hAnsi="Palatino Linotype"/>
        </w:rPr>
        <w:t>Por ello, a mi consideración es de la mayor pertinencia que la parte afectada o victima tenga acceso a la información, porque el grave problema es la indefensión</w:t>
      </w:r>
      <w:r w:rsidR="0043466A">
        <w:rPr>
          <w:rFonts w:ascii="Palatino Linotype" w:hAnsi="Palatino Linotype"/>
        </w:rPr>
        <w:t>, en el sentido de</w:t>
      </w:r>
      <w:r w:rsidR="0043466A" w:rsidRPr="0043466A">
        <w:rPr>
          <w:rFonts w:ascii="Palatino Linotype" w:hAnsi="Palatino Linotype"/>
        </w:rPr>
        <w:t xml:space="preserve"> aquella situación en la que la </w:t>
      </w:r>
      <w:r w:rsidR="0043466A">
        <w:rPr>
          <w:rFonts w:ascii="Palatino Linotype" w:hAnsi="Palatino Linotype"/>
        </w:rPr>
        <w:t xml:space="preserve">víctima </w:t>
      </w:r>
      <w:r w:rsidR="0043466A" w:rsidRPr="0043466A">
        <w:rPr>
          <w:rFonts w:ascii="Palatino Linotype" w:hAnsi="Palatino Linotype"/>
        </w:rPr>
        <w:t>se ve limitada</w:t>
      </w:r>
      <w:r w:rsidR="0043466A">
        <w:rPr>
          <w:rFonts w:ascii="Palatino Linotype" w:hAnsi="Palatino Linotype"/>
        </w:rPr>
        <w:t xml:space="preserve">, en virtud que en </w:t>
      </w:r>
      <w:r w:rsidR="00343CB1">
        <w:rPr>
          <w:rFonts w:ascii="Palatino Linotype" w:hAnsi="Palatino Linotype"/>
        </w:rPr>
        <w:t xml:space="preserve">muchas </w:t>
      </w:r>
      <w:r w:rsidR="0043466A">
        <w:rPr>
          <w:rFonts w:ascii="Palatino Linotype" w:hAnsi="Palatino Linotype"/>
        </w:rPr>
        <w:t>ocasiones se colisiona</w:t>
      </w:r>
      <w:r w:rsidR="00343CB1">
        <w:rPr>
          <w:rFonts w:ascii="Palatino Linotype" w:hAnsi="Palatino Linotype"/>
        </w:rPr>
        <w:t xml:space="preserve"> </w:t>
      </w:r>
      <w:r w:rsidR="0043466A">
        <w:rPr>
          <w:rFonts w:ascii="Palatino Linotype" w:hAnsi="Palatino Linotype"/>
        </w:rPr>
        <w:t xml:space="preserve">con </w:t>
      </w:r>
      <w:r w:rsidR="006B4FE5">
        <w:rPr>
          <w:rFonts w:ascii="Palatino Linotype" w:hAnsi="Palatino Linotype"/>
        </w:rPr>
        <w:t xml:space="preserve">aquellos </w:t>
      </w:r>
      <w:r w:rsidR="00343CB1">
        <w:rPr>
          <w:rFonts w:ascii="Palatino Linotype" w:hAnsi="Palatino Linotype"/>
        </w:rPr>
        <w:t xml:space="preserve">tramites que se tienen de manera alterna, o los que establece la ley para acceder a este tipo de información (ordinarios), </w:t>
      </w:r>
      <w:r w:rsidR="0043466A">
        <w:rPr>
          <w:rFonts w:ascii="Palatino Linotype" w:hAnsi="Palatino Linotype"/>
        </w:rPr>
        <w:t xml:space="preserve">los cuales eventual y </w:t>
      </w:r>
      <w:r w:rsidR="00343CB1">
        <w:rPr>
          <w:rFonts w:ascii="Palatino Linotype" w:hAnsi="Palatino Linotype"/>
        </w:rPr>
        <w:t>regularmente</w:t>
      </w:r>
      <w:r w:rsidR="0043466A">
        <w:rPr>
          <w:rFonts w:ascii="Palatino Linotype" w:hAnsi="Palatino Linotype"/>
        </w:rPr>
        <w:t>,</w:t>
      </w:r>
      <w:r w:rsidR="00343CB1">
        <w:rPr>
          <w:rFonts w:ascii="Palatino Linotype" w:hAnsi="Palatino Linotype"/>
        </w:rPr>
        <w:t xml:space="preserve"> no</w:t>
      </w:r>
      <w:r w:rsidR="006B4FE5">
        <w:rPr>
          <w:rFonts w:ascii="Palatino Linotype" w:hAnsi="Palatino Linotype"/>
        </w:rPr>
        <w:t xml:space="preserve"> le resultan</w:t>
      </w:r>
      <w:r w:rsidR="00343CB1">
        <w:rPr>
          <w:rFonts w:ascii="Palatino Linotype" w:hAnsi="Palatino Linotype"/>
        </w:rPr>
        <w:t xml:space="preserve"> efectivos por ello –insisto– las personas han buscado en el ejercicio de los derechos ARCO y de acceso a la información </w:t>
      </w:r>
      <w:r w:rsidR="006B4FE5">
        <w:rPr>
          <w:rFonts w:ascii="Palatino Linotype" w:hAnsi="Palatino Linotype"/>
        </w:rPr>
        <w:t>pública,</w:t>
      </w:r>
      <w:r w:rsidR="00343CB1">
        <w:rPr>
          <w:rFonts w:ascii="Palatino Linotype" w:hAnsi="Palatino Linotype"/>
        </w:rPr>
        <w:t xml:space="preserve"> un mecanismo más efectivo y eficaz para poder acceder a la informaci</w:t>
      </w:r>
      <w:r w:rsidR="0043466A">
        <w:rPr>
          <w:rFonts w:ascii="Palatino Linotype" w:hAnsi="Palatino Linotype"/>
        </w:rPr>
        <w:t>ón, la cual a su vez les permite verificar la correcta actuación de las autoridades; es decir del caso concreto el Ministerio Publico ha cumplido con sus deberes, por ellos se considera de importancia relevante acceder a la información solicitada.</w:t>
      </w:r>
    </w:p>
    <w:p w:rsidR="00BD1F52" w:rsidRPr="00BD1F52" w:rsidRDefault="00BD1F52" w:rsidP="00EC2C5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rPr>
      </w:pPr>
    </w:p>
    <w:p w:rsidR="00FF4B33" w:rsidRDefault="00FF4B33" w:rsidP="00A1036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A10361">
        <w:rPr>
          <w:rFonts w:ascii="Palatino Linotype" w:hAnsi="Palatino Linotype"/>
        </w:rPr>
        <w:t>En</w:t>
      </w:r>
      <w:r w:rsidRPr="004F719D">
        <w:rPr>
          <w:rFonts w:ascii="Palatino Linotype" w:hAnsi="Palatino Linotype" w:cs="Arial"/>
        </w:rPr>
        <w:t xml:space="preserve"> razón a las consideraciones antes señaladas es que no puedo compartir el sentido de la resolución adoptada </w:t>
      </w:r>
      <w:r w:rsidR="00ED2F56" w:rsidRPr="004F719D">
        <w:rPr>
          <w:rFonts w:ascii="Palatino Linotype" w:hAnsi="Palatino Linotype" w:cs="Arial"/>
        </w:rPr>
        <w:t>para</w:t>
      </w:r>
      <w:r w:rsidRPr="004F719D">
        <w:rPr>
          <w:rFonts w:ascii="Palatino Linotype" w:hAnsi="Palatino Linotype" w:cs="Arial"/>
        </w:rPr>
        <w:t xml:space="preserve"> </w:t>
      </w:r>
      <w:r w:rsidR="00655A4E">
        <w:rPr>
          <w:rFonts w:ascii="Palatino Linotype" w:hAnsi="Palatino Linotype" w:cs="Arial"/>
        </w:rPr>
        <w:t>confirmar</w:t>
      </w:r>
      <w:r w:rsidR="00DC5E04">
        <w:rPr>
          <w:rFonts w:ascii="Palatino Linotype" w:hAnsi="Palatino Linotype" w:cs="Arial"/>
        </w:rPr>
        <w:t xml:space="preserve"> </w:t>
      </w:r>
      <w:r w:rsidR="00655A4E">
        <w:rPr>
          <w:rFonts w:ascii="Palatino Linotype" w:hAnsi="Palatino Linotype" w:cs="Arial"/>
        </w:rPr>
        <w:t xml:space="preserve">la respuesta primigenia otorgada </w:t>
      </w:r>
      <w:r w:rsidR="00655A4E">
        <w:rPr>
          <w:rFonts w:ascii="Palatino Linotype" w:hAnsi="Palatino Linotype" w:cs="Arial"/>
        </w:rPr>
        <w:lastRenderedPageBreak/>
        <w:t>por el Sujeto Obligado en</w:t>
      </w:r>
      <w:r w:rsidR="00ED2F56" w:rsidRPr="004F719D">
        <w:rPr>
          <w:rFonts w:ascii="Palatino Linotype" w:hAnsi="Palatino Linotype" w:cs="Arial"/>
        </w:rPr>
        <w:t xml:space="preserve"> </w:t>
      </w:r>
      <w:r w:rsidR="00DC5E04">
        <w:rPr>
          <w:rFonts w:ascii="Palatino Linotype" w:hAnsi="Palatino Linotype" w:cs="Arial"/>
        </w:rPr>
        <w:t>el recurso de revisión de mérito</w:t>
      </w:r>
      <w:r w:rsidRPr="004F719D">
        <w:rPr>
          <w:rFonts w:ascii="Palatino Linotype" w:hAnsi="Palatino Linotype" w:cs="Arial"/>
        </w:rPr>
        <w:t>, motivando el presente</w:t>
      </w:r>
      <w:r w:rsidR="008517AF" w:rsidRPr="004F719D">
        <w:rPr>
          <w:rFonts w:ascii="Palatino Linotype" w:hAnsi="Palatino Linotype" w:cs="Arial"/>
        </w:rPr>
        <w:t xml:space="preserve"> voto disidente.</w:t>
      </w:r>
    </w:p>
    <w:p w:rsidR="00E2700B" w:rsidRPr="00E2700B" w:rsidRDefault="00E2700B" w:rsidP="00E2700B">
      <w:pPr>
        <w:pStyle w:val="Prrafodelista"/>
        <w:rPr>
          <w:rFonts w:ascii="Palatino Linotype" w:hAnsi="Palatino Linotype" w:cs="Arial"/>
        </w:rPr>
      </w:pPr>
    </w:p>
    <w:p w:rsidR="000D714D" w:rsidRPr="00EE1E46" w:rsidRDefault="00EE1E46" w:rsidP="00A1036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A10361">
        <w:rPr>
          <w:rFonts w:ascii="Palatino Linotype" w:hAnsi="Palatino Linotype"/>
        </w:rPr>
        <w:t>Este</w:t>
      </w:r>
      <w:r w:rsidRPr="00630750">
        <w:rPr>
          <w:rFonts w:ascii="Palatino Linotype" w:hAnsi="Palatino Linotype" w:cs="Arial"/>
        </w:rPr>
        <w:t xml:space="preserve"> Órgano Garante debe revisar en forma minuciosa en todos los casos, las hipótesis</w:t>
      </w:r>
      <w:r>
        <w:rPr>
          <w:rFonts w:ascii="Palatino Linotype" w:hAnsi="Palatino Linotype" w:cs="Arial"/>
        </w:rPr>
        <w:t xml:space="preserve"> normativas</w:t>
      </w:r>
      <w:r w:rsidRPr="00630750">
        <w:rPr>
          <w:rFonts w:ascii="Palatino Linotype" w:hAnsi="Palatino Linotype" w:cs="Arial"/>
        </w:rPr>
        <w:t xml:space="preserve"> que se actualizan, a efecto de resolver con base en ellas</w:t>
      </w:r>
      <w:r>
        <w:rPr>
          <w:rFonts w:ascii="Palatino Linotype" w:hAnsi="Palatino Linotype" w:cs="Arial"/>
        </w:rPr>
        <w:t xml:space="preserve"> y</w:t>
      </w:r>
      <w:r w:rsidRPr="00630750">
        <w:rPr>
          <w:rFonts w:ascii="Palatino Linotype" w:hAnsi="Palatino Linotype" w:cs="Arial"/>
        </w:rPr>
        <w:t xml:space="preserve"> garantizar</w:t>
      </w:r>
      <w:r>
        <w:rPr>
          <w:rFonts w:ascii="Palatino Linotype" w:hAnsi="Palatino Linotype" w:cs="Arial"/>
        </w:rPr>
        <w:t xml:space="preserve"> el derecho fundamental con estricto apego a la norma, garantizando</w:t>
      </w:r>
      <w:r w:rsidR="00A31B0C" w:rsidRPr="00EE1E46">
        <w:rPr>
          <w:rFonts w:ascii="Palatino Linotype" w:hAnsi="Palatino Linotype" w:cs="Arial"/>
        </w:rPr>
        <w:t xml:space="preserve"> a cabalidad</w:t>
      </w:r>
      <w:r w:rsidR="000D714D" w:rsidRPr="00EE1E46">
        <w:rPr>
          <w:rFonts w:ascii="Palatino Linotype" w:hAnsi="Palatino Linotype" w:cs="Arial"/>
        </w:rPr>
        <w:t xml:space="preserve"> </w:t>
      </w:r>
      <w:r>
        <w:rPr>
          <w:rFonts w:ascii="Palatino Linotype" w:hAnsi="Palatino Linotype" w:cs="Arial"/>
        </w:rPr>
        <w:t>el ejercicio de los derechos ARCO</w:t>
      </w:r>
      <w:r w:rsidR="00A31B0C" w:rsidRPr="00EE1E46">
        <w:rPr>
          <w:rFonts w:ascii="Palatino Linotype" w:hAnsi="Palatino Linotype" w:cs="Arial"/>
        </w:rPr>
        <w:t xml:space="preserve"> y garantizar</w:t>
      </w:r>
      <w:r w:rsidR="000D714D" w:rsidRPr="00EE1E46">
        <w:rPr>
          <w:rFonts w:ascii="Palatino Linotype" w:hAnsi="Palatino Linotype" w:cs="Arial"/>
        </w:rPr>
        <w:t xml:space="preserve"> el derecho fundamental.</w:t>
      </w:r>
      <w:r>
        <w:rPr>
          <w:rFonts w:ascii="Palatino Linotype" w:hAnsi="Palatino Linotype" w:cs="Arial"/>
        </w:rPr>
        <w:t xml:space="preserve"> </w:t>
      </w:r>
    </w:p>
    <w:p w:rsidR="00BE1AF8" w:rsidRPr="004F719D"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D767CC" w:rsidRPr="004F719D" w:rsidRDefault="00D767CC"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4F719D" w:rsidRDefault="00BE1AF8" w:rsidP="00BE1AF8">
      <w:pPr>
        <w:spacing w:line="360" w:lineRule="auto"/>
        <w:jc w:val="center"/>
        <w:rPr>
          <w:rFonts w:ascii="Palatino Linotype" w:eastAsia="Arial" w:hAnsi="Palatino Linotype" w:cs="Arial"/>
          <w:b/>
          <w:color w:val="000000"/>
          <w:bdr w:val="none" w:sz="0" w:space="0" w:color="auto"/>
          <w:lang w:eastAsia="es-MX"/>
        </w:rPr>
      </w:pPr>
      <w:r w:rsidRPr="004F719D">
        <w:rPr>
          <w:rFonts w:ascii="Palatino Linotype" w:eastAsia="Arial" w:hAnsi="Palatino Linotype" w:cs="Arial"/>
          <w:b/>
          <w:color w:val="000000"/>
          <w:lang w:eastAsia="es-MX"/>
        </w:rPr>
        <w:t>JOSÉ GUADALUPE LUNA HERNÁNDEZ</w:t>
      </w:r>
    </w:p>
    <w:p w:rsidR="00BE1AF8" w:rsidRPr="004F719D" w:rsidRDefault="00BE1AF8" w:rsidP="00BE1AF8">
      <w:pPr>
        <w:spacing w:line="360" w:lineRule="auto"/>
        <w:jc w:val="center"/>
        <w:rPr>
          <w:rFonts w:ascii="Palatino Linotype" w:eastAsia="Arial" w:hAnsi="Palatino Linotype" w:cs="Arial"/>
          <w:b/>
          <w:color w:val="000000"/>
          <w:lang w:eastAsia="es-MX"/>
        </w:rPr>
      </w:pPr>
      <w:r w:rsidRPr="004F719D">
        <w:rPr>
          <w:rFonts w:ascii="Palatino Linotype" w:eastAsia="Arial" w:hAnsi="Palatino Linotype" w:cs="Arial"/>
          <w:b/>
          <w:color w:val="000000"/>
          <w:lang w:eastAsia="es-MX"/>
        </w:rPr>
        <w:t>COMISIONADO</w:t>
      </w:r>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bookmarkStart w:id="75" w:name="_GoBack"/>
      <w:bookmarkEnd w:id="75"/>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Palatino Linotype" w:hAnsi="Palatino Linotype" w:cs="Arial"/>
          <w:b/>
        </w:rPr>
      </w:pPr>
    </w:p>
    <w:p w:rsidR="00D767CC" w:rsidRPr="00D767CC" w:rsidRDefault="00D767CC" w:rsidP="00D767C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D767CC">
        <w:rPr>
          <w:rFonts w:ascii="Palatino Linotype" w:hAnsi="Palatino Linotype" w:cs="Arial"/>
        </w:rPr>
        <w:t xml:space="preserve">Esta hoja corresponde al voto disidente emitido en contra de la resolución del recurso de revisión </w:t>
      </w:r>
      <w:r>
        <w:rPr>
          <w:rFonts w:ascii="Palatino Linotype" w:hAnsi="Palatino Linotype"/>
          <w:b/>
          <w:sz w:val="21"/>
          <w:szCs w:val="21"/>
          <w:lang w:val="es-ES_tradnl"/>
        </w:rPr>
        <w:t xml:space="preserve">03153/INFOEM/IP/RR/2018, </w:t>
      </w:r>
      <w:r>
        <w:rPr>
          <w:rFonts w:ascii="Palatino Linotype" w:hAnsi="Palatino Linotype"/>
          <w:sz w:val="21"/>
          <w:szCs w:val="21"/>
          <w:lang w:val="es-ES_tradnl"/>
        </w:rPr>
        <w:t xml:space="preserve">de fecha </w:t>
      </w:r>
      <w:r w:rsidRPr="00EC2C5F">
        <w:rPr>
          <w:rFonts w:ascii="Palatino Linotype" w:eastAsia="Calibri" w:hAnsi="Palatino Linotype" w:cs="Arial"/>
        </w:rPr>
        <w:t>veintitrés (23) de enero</w:t>
      </w:r>
      <w:r w:rsidRPr="00EC2C5F">
        <w:rPr>
          <w:rFonts w:ascii="Palatino Linotype" w:hAnsi="Palatino Linotype" w:cs="Arial"/>
          <w:color w:val="000000" w:themeColor="text1"/>
        </w:rPr>
        <w:t xml:space="preserve"> de dos mil diecinueve</w:t>
      </w:r>
      <w:r>
        <w:rPr>
          <w:rFonts w:ascii="Palatino Linotype" w:hAnsi="Palatino Linotype" w:cs="Arial"/>
          <w:color w:val="000000" w:themeColor="text1"/>
        </w:rPr>
        <w:t>.</w:t>
      </w:r>
    </w:p>
    <w:sectPr w:rsidR="00D767CC" w:rsidRPr="00D767CC" w:rsidSect="007631ED">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0C" w:rsidRDefault="0005690C" w:rsidP="00ED7332">
      <w:r>
        <w:separator/>
      </w:r>
    </w:p>
  </w:endnote>
  <w:endnote w:type="continuationSeparator" w:id="0">
    <w:p w:rsidR="0005690C" w:rsidRDefault="0005690C"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24E8A">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24E8A">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761561" w:rsidRDefault="007615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0C" w:rsidRDefault="0005690C" w:rsidP="00ED7332">
      <w:r>
        <w:separator/>
      </w:r>
    </w:p>
  </w:footnote>
  <w:footnote w:type="continuationSeparator" w:id="0">
    <w:p w:rsidR="0005690C" w:rsidRDefault="0005690C"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5690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5690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5690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DA1D3A"/>
    <w:multiLevelType w:val="hybridMultilevel"/>
    <w:tmpl w:val="4FC22C46"/>
    <w:lvl w:ilvl="0" w:tplc="F21474AC">
      <w:start w:val="1"/>
      <w:numFmt w:val="lowerLetter"/>
      <w:lvlText w:val="%1)"/>
      <w:lvlJc w:val="left"/>
      <w:pPr>
        <w:ind w:left="927" w:hanging="360"/>
      </w:pPr>
      <w:rPr>
        <w:rFonts w:eastAsiaTheme="majorEastAsia" w:cstheme="majorBidi"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3F29D0"/>
    <w:multiLevelType w:val="hybridMultilevel"/>
    <w:tmpl w:val="B1F0D078"/>
    <w:lvl w:ilvl="0" w:tplc="900C8628">
      <w:start w:val="7"/>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7AC5D89"/>
    <w:multiLevelType w:val="hybridMultilevel"/>
    <w:tmpl w:val="B7420808"/>
    <w:lvl w:ilvl="0" w:tplc="67800934">
      <w:start w:val="1"/>
      <w:numFmt w:val="decimal"/>
      <w:lvlText w:val="%1."/>
      <w:lvlJc w:val="left"/>
      <w:pPr>
        <w:ind w:left="426" w:hanging="360"/>
      </w:pPr>
      <w:rPr>
        <w:b/>
        <w:sz w:val="24"/>
        <w:szCs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E641F14"/>
    <w:multiLevelType w:val="hybridMultilevel"/>
    <w:tmpl w:val="CF0A4950"/>
    <w:lvl w:ilvl="0" w:tplc="06F2B83C">
      <w:start w:val="2"/>
      <w:numFmt w:val="upperRoman"/>
      <w:pStyle w:val="Ttulo1"/>
      <w:lvlText w:val="%1."/>
      <w:lvlJc w:val="right"/>
      <w:pPr>
        <w:ind w:left="106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E449FA"/>
    <w:multiLevelType w:val="hybridMultilevel"/>
    <w:tmpl w:val="C7FCA0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30">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7">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0"/>
  </w:num>
  <w:num w:numId="3">
    <w:abstractNumId w:val="40"/>
  </w:num>
  <w:num w:numId="4">
    <w:abstractNumId w:val="7"/>
  </w:num>
  <w:num w:numId="5">
    <w:abstractNumId w:val="15"/>
  </w:num>
  <w:num w:numId="6">
    <w:abstractNumId w:val="3"/>
  </w:num>
  <w:num w:numId="7">
    <w:abstractNumId w:val="26"/>
  </w:num>
  <w:num w:numId="8">
    <w:abstractNumId w:val="44"/>
  </w:num>
  <w:num w:numId="9">
    <w:abstractNumId w:val="19"/>
  </w:num>
  <w:num w:numId="10">
    <w:abstractNumId w:val="2"/>
  </w:num>
  <w:num w:numId="11">
    <w:abstractNumId w:val="0"/>
  </w:num>
  <w:num w:numId="12">
    <w:abstractNumId w:val="24"/>
  </w:num>
  <w:num w:numId="13">
    <w:abstractNumId w:val="5"/>
  </w:num>
  <w:num w:numId="14">
    <w:abstractNumId w:val="38"/>
  </w:num>
  <w:num w:numId="15">
    <w:abstractNumId w:val="37"/>
  </w:num>
  <w:num w:numId="16">
    <w:abstractNumId w:val="21"/>
  </w:num>
  <w:num w:numId="17">
    <w:abstractNumId w:val="12"/>
  </w:num>
  <w:num w:numId="18">
    <w:abstractNumId w:val="9"/>
  </w:num>
  <w:num w:numId="19">
    <w:abstractNumId w:val="39"/>
  </w:num>
  <w:num w:numId="20">
    <w:abstractNumId w:val="18"/>
  </w:num>
  <w:num w:numId="21">
    <w:abstractNumId w:val="41"/>
  </w:num>
  <w:num w:numId="22">
    <w:abstractNumId w:val="14"/>
  </w:num>
  <w:num w:numId="23">
    <w:abstractNumId w:val="16"/>
  </w:num>
  <w:num w:numId="24">
    <w:abstractNumId w:val="30"/>
  </w:num>
  <w:num w:numId="25">
    <w:abstractNumId w:val="20"/>
  </w:num>
  <w:num w:numId="26">
    <w:abstractNumId w:val="4"/>
  </w:num>
  <w:num w:numId="27">
    <w:abstractNumId w:val="11"/>
  </w:num>
  <w:num w:numId="28">
    <w:abstractNumId w:val="29"/>
  </w:num>
  <w:num w:numId="29">
    <w:abstractNumId w:val="13"/>
  </w:num>
  <w:num w:numId="30">
    <w:abstractNumId w:val="35"/>
  </w:num>
  <w:num w:numId="31">
    <w:abstractNumId w:val="28"/>
  </w:num>
  <w:num w:numId="32">
    <w:abstractNumId w:val="36"/>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0"/>
  </w:num>
  <w:num w:numId="36">
    <w:abstractNumId w:val="31"/>
  </w:num>
  <w:num w:numId="37">
    <w:abstractNumId w:val="22"/>
  </w:num>
  <w:num w:numId="38">
    <w:abstractNumId w:val="32"/>
  </w:num>
  <w:num w:numId="39">
    <w:abstractNumId w:val="23"/>
  </w:num>
  <w:num w:numId="40">
    <w:abstractNumId w:val="34"/>
  </w:num>
  <w:num w:numId="41">
    <w:abstractNumId w:val="43"/>
  </w:num>
  <w:num w:numId="42">
    <w:abstractNumId w:val="22"/>
    <w:lvlOverride w:ilvl="0">
      <w:startOverride w:val="4"/>
    </w:lvlOverride>
  </w:num>
  <w:num w:numId="43">
    <w:abstractNumId w:val="1"/>
  </w:num>
  <w:num w:numId="44">
    <w:abstractNumId w:val="33"/>
  </w:num>
  <w:num w:numId="45">
    <w:abstractNumId w:val="17"/>
  </w:num>
  <w:num w:numId="46">
    <w:abstractNumId w:val="42"/>
  </w:num>
  <w:num w:numId="47">
    <w:abstractNumId w:val="22"/>
    <w:lvlOverride w:ilvl="0">
      <w:startOverride w:val="2"/>
    </w:lvlOverride>
  </w:num>
  <w:num w:numId="48">
    <w:abstractNumId w:val="8"/>
  </w:num>
  <w:num w:numId="49">
    <w:abstractNumId w:val="25"/>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06D5"/>
    <w:rsid w:val="000350F9"/>
    <w:rsid w:val="00045EDE"/>
    <w:rsid w:val="0005690C"/>
    <w:rsid w:val="00074B24"/>
    <w:rsid w:val="00075028"/>
    <w:rsid w:val="00082DEF"/>
    <w:rsid w:val="0009296B"/>
    <w:rsid w:val="000963B3"/>
    <w:rsid w:val="00097AD7"/>
    <w:rsid w:val="000B0E25"/>
    <w:rsid w:val="000C0503"/>
    <w:rsid w:val="000D714D"/>
    <w:rsid w:val="000E256B"/>
    <w:rsid w:val="000E7EE8"/>
    <w:rsid w:val="000F1159"/>
    <w:rsid w:val="000F2AC8"/>
    <w:rsid w:val="00103510"/>
    <w:rsid w:val="00115126"/>
    <w:rsid w:val="00151023"/>
    <w:rsid w:val="0015416E"/>
    <w:rsid w:val="0016141F"/>
    <w:rsid w:val="00161D60"/>
    <w:rsid w:val="00170FB4"/>
    <w:rsid w:val="00173575"/>
    <w:rsid w:val="00187C5A"/>
    <w:rsid w:val="00192468"/>
    <w:rsid w:val="001A18E1"/>
    <w:rsid w:val="001A2F06"/>
    <w:rsid w:val="001B7DE4"/>
    <w:rsid w:val="001C6C91"/>
    <w:rsid w:val="001E2E42"/>
    <w:rsid w:val="001E2F7E"/>
    <w:rsid w:val="001F0577"/>
    <w:rsid w:val="00203272"/>
    <w:rsid w:val="0022496A"/>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240E2"/>
    <w:rsid w:val="00324E8A"/>
    <w:rsid w:val="003331EE"/>
    <w:rsid w:val="00343467"/>
    <w:rsid w:val="00343CB1"/>
    <w:rsid w:val="003503B0"/>
    <w:rsid w:val="00364D1A"/>
    <w:rsid w:val="00364E7F"/>
    <w:rsid w:val="003672A4"/>
    <w:rsid w:val="003765B0"/>
    <w:rsid w:val="0038405F"/>
    <w:rsid w:val="003A43CE"/>
    <w:rsid w:val="003A68B3"/>
    <w:rsid w:val="003C68B6"/>
    <w:rsid w:val="003D1215"/>
    <w:rsid w:val="003D513F"/>
    <w:rsid w:val="003F71B7"/>
    <w:rsid w:val="004077F9"/>
    <w:rsid w:val="0041661A"/>
    <w:rsid w:val="00421FE8"/>
    <w:rsid w:val="00423741"/>
    <w:rsid w:val="004252DB"/>
    <w:rsid w:val="00430106"/>
    <w:rsid w:val="0043466A"/>
    <w:rsid w:val="0044710A"/>
    <w:rsid w:val="00482790"/>
    <w:rsid w:val="004915D5"/>
    <w:rsid w:val="004A6948"/>
    <w:rsid w:val="004A6F87"/>
    <w:rsid w:val="004A732D"/>
    <w:rsid w:val="004A75D5"/>
    <w:rsid w:val="004B481E"/>
    <w:rsid w:val="004C349B"/>
    <w:rsid w:val="004C4360"/>
    <w:rsid w:val="004C6FB0"/>
    <w:rsid w:val="004D1629"/>
    <w:rsid w:val="004D7F65"/>
    <w:rsid w:val="004F719D"/>
    <w:rsid w:val="0050137A"/>
    <w:rsid w:val="00503141"/>
    <w:rsid w:val="00505CEE"/>
    <w:rsid w:val="0052203D"/>
    <w:rsid w:val="00544DCE"/>
    <w:rsid w:val="0054621F"/>
    <w:rsid w:val="00557948"/>
    <w:rsid w:val="00577A92"/>
    <w:rsid w:val="00586E51"/>
    <w:rsid w:val="005877AF"/>
    <w:rsid w:val="005A09A1"/>
    <w:rsid w:val="005A55B8"/>
    <w:rsid w:val="005B3382"/>
    <w:rsid w:val="005E6E1A"/>
    <w:rsid w:val="00602C98"/>
    <w:rsid w:val="00614828"/>
    <w:rsid w:val="00630699"/>
    <w:rsid w:val="00633DCF"/>
    <w:rsid w:val="00635965"/>
    <w:rsid w:val="0063753D"/>
    <w:rsid w:val="006409B3"/>
    <w:rsid w:val="00642F7C"/>
    <w:rsid w:val="00644DC3"/>
    <w:rsid w:val="006500A4"/>
    <w:rsid w:val="00651B65"/>
    <w:rsid w:val="00655A4E"/>
    <w:rsid w:val="006628F6"/>
    <w:rsid w:val="00662926"/>
    <w:rsid w:val="00696E58"/>
    <w:rsid w:val="006B4FE5"/>
    <w:rsid w:val="006E2911"/>
    <w:rsid w:val="006F723F"/>
    <w:rsid w:val="00711276"/>
    <w:rsid w:val="007226CE"/>
    <w:rsid w:val="007455F7"/>
    <w:rsid w:val="007464A6"/>
    <w:rsid w:val="00761561"/>
    <w:rsid w:val="007631ED"/>
    <w:rsid w:val="00763471"/>
    <w:rsid w:val="00774A7F"/>
    <w:rsid w:val="0077794D"/>
    <w:rsid w:val="00781316"/>
    <w:rsid w:val="007A4E77"/>
    <w:rsid w:val="007A6A25"/>
    <w:rsid w:val="007A76AC"/>
    <w:rsid w:val="007B194A"/>
    <w:rsid w:val="007B1C16"/>
    <w:rsid w:val="007B70C2"/>
    <w:rsid w:val="007C25E8"/>
    <w:rsid w:val="007C5AD9"/>
    <w:rsid w:val="007D6A65"/>
    <w:rsid w:val="007F5BB2"/>
    <w:rsid w:val="00835B3B"/>
    <w:rsid w:val="00837B04"/>
    <w:rsid w:val="008517AF"/>
    <w:rsid w:val="00864D58"/>
    <w:rsid w:val="00876E43"/>
    <w:rsid w:val="00880EB4"/>
    <w:rsid w:val="00894FAC"/>
    <w:rsid w:val="008A78F1"/>
    <w:rsid w:val="008B29B7"/>
    <w:rsid w:val="008B2AC8"/>
    <w:rsid w:val="008B2E69"/>
    <w:rsid w:val="008B50DE"/>
    <w:rsid w:val="008B70FB"/>
    <w:rsid w:val="008B7317"/>
    <w:rsid w:val="008B7D1A"/>
    <w:rsid w:val="008C3561"/>
    <w:rsid w:val="008D096B"/>
    <w:rsid w:val="008F1F4E"/>
    <w:rsid w:val="008F3587"/>
    <w:rsid w:val="008F6683"/>
    <w:rsid w:val="0090198C"/>
    <w:rsid w:val="009332A7"/>
    <w:rsid w:val="00940BE8"/>
    <w:rsid w:val="00941946"/>
    <w:rsid w:val="00952EB7"/>
    <w:rsid w:val="00956C66"/>
    <w:rsid w:val="00962AB3"/>
    <w:rsid w:val="0097464F"/>
    <w:rsid w:val="0099042C"/>
    <w:rsid w:val="009C45E6"/>
    <w:rsid w:val="009D5E66"/>
    <w:rsid w:val="009E3209"/>
    <w:rsid w:val="009E7D34"/>
    <w:rsid w:val="00A10361"/>
    <w:rsid w:val="00A31B0C"/>
    <w:rsid w:val="00A3395D"/>
    <w:rsid w:val="00A36FB9"/>
    <w:rsid w:val="00A410B3"/>
    <w:rsid w:val="00A527F0"/>
    <w:rsid w:val="00A94904"/>
    <w:rsid w:val="00A94BEC"/>
    <w:rsid w:val="00AD7EC8"/>
    <w:rsid w:val="00AE112C"/>
    <w:rsid w:val="00AE1FD6"/>
    <w:rsid w:val="00AF1A02"/>
    <w:rsid w:val="00B06084"/>
    <w:rsid w:val="00B079D3"/>
    <w:rsid w:val="00B1690D"/>
    <w:rsid w:val="00B21C1B"/>
    <w:rsid w:val="00B305DB"/>
    <w:rsid w:val="00B30F54"/>
    <w:rsid w:val="00B35501"/>
    <w:rsid w:val="00B64221"/>
    <w:rsid w:val="00B82DF9"/>
    <w:rsid w:val="00B847C6"/>
    <w:rsid w:val="00BA7541"/>
    <w:rsid w:val="00BC23A5"/>
    <w:rsid w:val="00BD1F52"/>
    <w:rsid w:val="00BD7E40"/>
    <w:rsid w:val="00BE1AF8"/>
    <w:rsid w:val="00C04ABD"/>
    <w:rsid w:val="00C36B1F"/>
    <w:rsid w:val="00C37D34"/>
    <w:rsid w:val="00C50FC5"/>
    <w:rsid w:val="00C57328"/>
    <w:rsid w:val="00C648C5"/>
    <w:rsid w:val="00C64CFF"/>
    <w:rsid w:val="00C7087D"/>
    <w:rsid w:val="00C71C2F"/>
    <w:rsid w:val="00C74DDE"/>
    <w:rsid w:val="00C8234C"/>
    <w:rsid w:val="00C87E9E"/>
    <w:rsid w:val="00C96160"/>
    <w:rsid w:val="00C96A05"/>
    <w:rsid w:val="00CA5AFE"/>
    <w:rsid w:val="00CB13A7"/>
    <w:rsid w:val="00CB19F7"/>
    <w:rsid w:val="00CB3643"/>
    <w:rsid w:val="00CD3F2D"/>
    <w:rsid w:val="00CE058D"/>
    <w:rsid w:val="00CF16BC"/>
    <w:rsid w:val="00D075E8"/>
    <w:rsid w:val="00D0774E"/>
    <w:rsid w:val="00D212CB"/>
    <w:rsid w:val="00D21BC9"/>
    <w:rsid w:val="00D349C5"/>
    <w:rsid w:val="00D37C48"/>
    <w:rsid w:val="00D420C4"/>
    <w:rsid w:val="00D570BC"/>
    <w:rsid w:val="00D74377"/>
    <w:rsid w:val="00D767CC"/>
    <w:rsid w:val="00D976D8"/>
    <w:rsid w:val="00DB5AF7"/>
    <w:rsid w:val="00DC3D1C"/>
    <w:rsid w:val="00DC5E04"/>
    <w:rsid w:val="00DC613F"/>
    <w:rsid w:val="00DE28AC"/>
    <w:rsid w:val="00DE7C9B"/>
    <w:rsid w:val="00DE7DF6"/>
    <w:rsid w:val="00E043DE"/>
    <w:rsid w:val="00E06C70"/>
    <w:rsid w:val="00E12C1D"/>
    <w:rsid w:val="00E25072"/>
    <w:rsid w:val="00E2700B"/>
    <w:rsid w:val="00E4540E"/>
    <w:rsid w:val="00E60C19"/>
    <w:rsid w:val="00E67744"/>
    <w:rsid w:val="00E80889"/>
    <w:rsid w:val="00EA3B74"/>
    <w:rsid w:val="00EA4216"/>
    <w:rsid w:val="00EA734D"/>
    <w:rsid w:val="00EB46CE"/>
    <w:rsid w:val="00EB6A73"/>
    <w:rsid w:val="00EC2C5F"/>
    <w:rsid w:val="00EC781B"/>
    <w:rsid w:val="00ED2F56"/>
    <w:rsid w:val="00ED5776"/>
    <w:rsid w:val="00ED7332"/>
    <w:rsid w:val="00EE1E46"/>
    <w:rsid w:val="00EE3F52"/>
    <w:rsid w:val="00EF3407"/>
    <w:rsid w:val="00EF4D4D"/>
    <w:rsid w:val="00EF7BFC"/>
    <w:rsid w:val="00F15D14"/>
    <w:rsid w:val="00F3413E"/>
    <w:rsid w:val="00F436A4"/>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 w:val="00FF71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7EFB4673-FF4D-44CD-AE92-5971DB8F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EE1E46"/>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EE1E46"/>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customStyle="1" w:styleId="paragraph">
    <w:name w:val="paragraph"/>
    <w:basedOn w:val="Normal"/>
    <w:rsid w:val="007813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70737-278A-4C5B-B232-DBE9B8F8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16</Pages>
  <Words>3092</Words>
  <Characters>17012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2019-01-28T23:30:00Z</cp:lastPrinted>
  <dcterms:created xsi:type="dcterms:W3CDTF">2019-01-24T18:46:00Z</dcterms:created>
  <dcterms:modified xsi:type="dcterms:W3CDTF">2019-03-20T21:31:00Z</dcterms:modified>
</cp:coreProperties>
</file>